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55521" w14:textId="77777777" w:rsidR="00DE7B67" w:rsidRDefault="00044E47">
      <w:pPr>
        <w:ind w:left="3826" w:right="36"/>
        <w:jc w:val="both"/>
        <w:rPr>
          <w:rFonts w:ascii="Arial" w:eastAsia="Arial" w:hAnsi="Arial" w:cs="Arial"/>
          <w:b/>
          <w:sz w:val="24"/>
          <w:szCs w:val="24"/>
        </w:rPr>
      </w:pPr>
      <w:bookmarkStart w:id="0" w:name="_heading=h.gjdgxs" w:colFirst="0" w:colLast="0"/>
      <w:bookmarkEnd w:id="0"/>
      <w:r>
        <w:rPr>
          <w:rFonts w:ascii="Arial" w:eastAsia="Arial" w:hAnsi="Arial" w:cs="Arial"/>
          <w:b/>
          <w:sz w:val="24"/>
          <w:szCs w:val="24"/>
        </w:rPr>
        <w:t>PROCEDIMIENTO ESPECIAL SANCIONADOR.</w:t>
      </w:r>
    </w:p>
    <w:p w14:paraId="044FC183" w14:textId="77777777" w:rsidR="00DE7B67" w:rsidRDefault="00DE7B67">
      <w:pPr>
        <w:pBdr>
          <w:top w:val="nil"/>
          <w:left w:val="nil"/>
          <w:bottom w:val="nil"/>
          <w:right w:val="nil"/>
          <w:between w:val="nil"/>
        </w:pBdr>
        <w:ind w:left="3826"/>
        <w:rPr>
          <w:rFonts w:ascii="Arial" w:eastAsia="Arial" w:hAnsi="Arial" w:cs="Arial"/>
          <w:color w:val="000000"/>
          <w:sz w:val="14"/>
          <w:szCs w:val="14"/>
        </w:rPr>
      </w:pPr>
    </w:p>
    <w:p w14:paraId="02BF6EFF" w14:textId="77777777" w:rsidR="00DE7B67" w:rsidRDefault="00044E47">
      <w:pPr>
        <w:ind w:left="3826" w:right="36"/>
        <w:jc w:val="both"/>
        <w:rPr>
          <w:rFonts w:ascii="Arial" w:eastAsia="Arial" w:hAnsi="Arial" w:cs="Arial"/>
          <w:b/>
          <w:sz w:val="24"/>
          <w:szCs w:val="24"/>
        </w:rPr>
      </w:pPr>
      <w:r>
        <w:rPr>
          <w:rFonts w:ascii="Arial" w:eastAsia="Arial" w:hAnsi="Arial" w:cs="Arial"/>
          <w:b/>
          <w:sz w:val="24"/>
          <w:szCs w:val="24"/>
        </w:rPr>
        <w:t xml:space="preserve">EXPEDIENTE: </w:t>
      </w:r>
      <w:r>
        <w:rPr>
          <w:rFonts w:ascii="Arial" w:eastAsia="Arial" w:hAnsi="Arial" w:cs="Arial"/>
          <w:sz w:val="24"/>
          <w:szCs w:val="24"/>
        </w:rPr>
        <w:t>TEEA-PES-065/2022.</w:t>
      </w:r>
      <w:r>
        <w:rPr>
          <w:rFonts w:ascii="Arial" w:eastAsia="Arial" w:hAnsi="Arial" w:cs="Arial"/>
          <w:b/>
          <w:sz w:val="24"/>
          <w:szCs w:val="24"/>
        </w:rPr>
        <w:t xml:space="preserve"> </w:t>
      </w:r>
    </w:p>
    <w:p w14:paraId="0511ED27" w14:textId="77777777" w:rsidR="00DE7B67" w:rsidRDefault="00DE7B67">
      <w:pPr>
        <w:ind w:left="3826" w:right="36"/>
        <w:jc w:val="both"/>
        <w:rPr>
          <w:rFonts w:ascii="Arial" w:eastAsia="Arial" w:hAnsi="Arial" w:cs="Arial"/>
          <w:b/>
          <w:sz w:val="14"/>
          <w:szCs w:val="14"/>
        </w:rPr>
      </w:pPr>
    </w:p>
    <w:p w14:paraId="1BC3B3B6" w14:textId="77777777" w:rsidR="00DE7B67" w:rsidRDefault="00044E47">
      <w:pPr>
        <w:ind w:left="3826" w:right="36"/>
        <w:jc w:val="both"/>
        <w:rPr>
          <w:rFonts w:ascii="Arial" w:eastAsia="Arial" w:hAnsi="Arial" w:cs="Arial"/>
          <w:sz w:val="24"/>
          <w:szCs w:val="24"/>
        </w:rPr>
      </w:pPr>
      <w:r>
        <w:rPr>
          <w:rFonts w:ascii="Arial" w:eastAsia="Arial" w:hAnsi="Arial" w:cs="Arial"/>
          <w:b/>
          <w:sz w:val="24"/>
          <w:szCs w:val="24"/>
        </w:rPr>
        <w:t>DENUNCIANTES:</w:t>
      </w:r>
      <w:r>
        <w:rPr>
          <w:rFonts w:ascii="Arial" w:eastAsia="Arial" w:hAnsi="Arial" w:cs="Arial"/>
          <w:sz w:val="24"/>
          <w:szCs w:val="24"/>
        </w:rPr>
        <w:t xml:space="preserve">  PARTIDO VERDE ECOLOGISTA DE MÉXICO Y OTRO.</w:t>
      </w:r>
    </w:p>
    <w:p w14:paraId="3DD1FC9D" w14:textId="77777777" w:rsidR="00DE7B67" w:rsidRDefault="00DE7B67">
      <w:pPr>
        <w:pBdr>
          <w:top w:val="nil"/>
          <w:left w:val="nil"/>
          <w:bottom w:val="nil"/>
          <w:right w:val="nil"/>
          <w:between w:val="nil"/>
        </w:pBdr>
        <w:ind w:left="3826"/>
        <w:rPr>
          <w:rFonts w:ascii="Arial" w:eastAsia="Arial" w:hAnsi="Arial" w:cs="Arial"/>
          <w:color w:val="000000"/>
          <w:sz w:val="14"/>
          <w:szCs w:val="14"/>
        </w:rPr>
      </w:pPr>
    </w:p>
    <w:p w14:paraId="3BD4E3C5" w14:textId="77777777" w:rsidR="00DE7B67" w:rsidRDefault="00044E47">
      <w:pPr>
        <w:ind w:left="3826" w:right="36"/>
        <w:jc w:val="both"/>
        <w:rPr>
          <w:rFonts w:ascii="Arial" w:eastAsia="Arial" w:hAnsi="Arial" w:cs="Arial"/>
          <w:sz w:val="24"/>
          <w:szCs w:val="24"/>
        </w:rPr>
      </w:pPr>
      <w:r>
        <w:rPr>
          <w:rFonts w:ascii="Arial" w:eastAsia="Arial" w:hAnsi="Arial" w:cs="Arial"/>
          <w:b/>
          <w:sz w:val="24"/>
          <w:szCs w:val="24"/>
        </w:rPr>
        <w:t>DENUNCIADA:</w:t>
      </w:r>
      <w:r>
        <w:rPr>
          <w:rFonts w:ascii="Arial" w:eastAsia="Arial" w:hAnsi="Arial" w:cs="Arial"/>
          <w:sz w:val="24"/>
          <w:szCs w:val="24"/>
        </w:rPr>
        <w:t xml:space="preserve"> MARÍA TERESA JIMÉNEZ ESQUIVEL Y OTROS. </w:t>
      </w:r>
    </w:p>
    <w:p w14:paraId="7132DEB8" w14:textId="77777777" w:rsidR="00DE7B67" w:rsidRDefault="00DE7B67">
      <w:pPr>
        <w:pBdr>
          <w:top w:val="nil"/>
          <w:left w:val="nil"/>
          <w:bottom w:val="nil"/>
          <w:right w:val="nil"/>
          <w:between w:val="nil"/>
        </w:pBdr>
        <w:ind w:left="3826"/>
        <w:rPr>
          <w:rFonts w:ascii="Arial" w:eastAsia="Arial" w:hAnsi="Arial" w:cs="Arial"/>
          <w:color w:val="000000"/>
          <w:sz w:val="14"/>
          <w:szCs w:val="14"/>
        </w:rPr>
      </w:pPr>
    </w:p>
    <w:p w14:paraId="47973719" w14:textId="77777777" w:rsidR="00DE7B67" w:rsidRDefault="00044E47">
      <w:pPr>
        <w:ind w:left="3826" w:right="36"/>
        <w:jc w:val="both"/>
        <w:rPr>
          <w:rFonts w:ascii="Arial" w:eastAsia="Arial" w:hAnsi="Arial" w:cs="Arial"/>
          <w:sz w:val="24"/>
          <w:szCs w:val="24"/>
        </w:rPr>
      </w:pPr>
      <w:r>
        <w:rPr>
          <w:rFonts w:ascii="Arial" w:eastAsia="Arial" w:hAnsi="Arial" w:cs="Arial"/>
          <w:b/>
          <w:sz w:val="24"/>
          <w:szCs w:val="24"/>
        </w:rPr>
        <w:t>MAGISTRADA PONENTE:</w:t>
      </w:r>
      <w:r>
        <w:rPr>
          <w:rFonts w:ascii="Arial" w:eastAsia="Arial" w:hAnsi="Arial" w:cs="Arial"/>
          <w:sz w:val="24"/>
          <w:szCs w:val="24"/>
        </w:rPr>
        <w:t xml:space="preserve"> LAURA HORTENSIA LLAMAS HERNÁNDEZ.</w:t>
      </w:r>
    </w:p>
    <w:p w14:paraId="0F299679" w14:textId="77777777" w:rsidR="00DE7B67" w:rsidRDefault="00DE7B67">
      <w:pPr>
        <w:pBdr>
          <w:top w:val="nil"/>
          <w:left w:val="nil"/>
          <w:bottom w:val="nil"/>
          <w:right w:val="nil"/>
          <w:between w:val="nil"/>
        </w:pBdr>
        <w:ind w:left="3826"/>
        <w:rPr>
          <w:rFonts w:ascii="Arial" w:eastAsia="Arial" w:hAnsi="Arial" w:cs="Arial"/>
          <w:color w:val="000000"/>
          <w:sz w:val="14"/>
          <w:szCs w:val="14"/>
        </w:rPr>
      </w:pPr>
    </w:p>
    <w:p w14:paraId="497E5202" w14:textId="77777777" w:rsidR="00DE7B67" w:rsidRDefault="00044E47">
      <w:pPr>
        <w:ind w:left="3826" w:right="36"/>
        <w:jc w:val="both"/>
        <w:rPr>
          <w:rFonts w:ascii="Arial" w:eastAsia="Arial" w:hAnsi="Arial" w:cs="Arial"/>
          <w:sz w:val="24"/>
          <w:szCs w:val="24"/>
        </w:rPr>
      </w:pPr>
      <w:r>
        <w:rPr>
          <w:rFonts w:ascii="Arial" w:eastAsia="Arial" w:hAnsi="Arial" w:cs="Arial"/>
          <w:b/>
          <w:sz w:val="24"/>
          <w:szCs w:val="24"/>
        </w:rPr>
        <w:t>SECRETARIO DE ESTUDIO</w:t>
      </w:r>
      <w:r>
        <w:rPr>
          <w:rFonts w:ascii="Arial" w:eastAsia="Arial" w:hAnsi="Arial" w:cs="Arial"/>
          <w:b/>
          <w:sz w:val="24"/>
          <w:szCs w:val="24"/>
          <w:vertAlign w:val="superscript"/>
        </w:rPr>
        <w:footnoteReference w:id="1"/>
      </w:r>
      <w:r>
        <w:rPr>
          <w:rFonts w:ascii="Arial" w:eastAsia="Arial" w:hAnsi="Arial" w:cs="Arial"/>
          <w:b/>
          <w:sz w:val="24"/>
          <w:szCs w:val="24"/>
        </w:rPr>
        <w:t xml:space="preserve">: </w:t>
      </w:r>
      <w:r>
        <w:rPr>
          <w:rFonts w:ascii="Arial" w:eastAsia="Arial" w:hAnsi="Arial" w:cs="Arial"/>
          <w:sz w:val="24"/>
          <w:szCs w:val="24"/>
        </w:rPr>
        <w:t>EDGAR ALEJANDRO LÓPEZ DÁVILA.</w:t>
      </w:r>
    </w:p>
    <w:p w14:paraId="0E1CFD75" w14:textId="77777777" w:rsidR="00DE7B67" w:rsidRDefault="00DE7B67">
      <w:pPr>
        <w:ind w:left="3826" w:right="36"/>
        <w:jc w:val="both"/>
        <w:rPr>
          <w:rFonts w:ascii="Arial" w:eastAsia="Arial" w:hAnsi="Arial" w:cs="Arial"/>
          <w:sz w:val="14"/>
          <w:szCs w:val="14"/>
        </w:rPr>
      </w:pPr>
    </w:p>
    <w:p w14:paraId="0934261B" w14:textId="77777777" w:rsidR="00DE7B67" w:rsidRDefault="00044E47">
      <w:pPr>
        <w:ind w:left="3826" w:right="36"/>
        <w:jc w:val="both"/>
        <w:rPr>
          <w:rFonts w:ascii="Arial" w:eastAsia="Arial" w:hAnsi="Arial" w:cs="Arial"/>
          <w:sz w:val="24"/>
          <w:szCs w:val="24"/>
        </w:rPr>
      </w:pPr>
      <w:r>
        <w:rPr>
          <w:rFonts w:ascii="Arial" w:eastAsia="Arial" w:hAnsi="Arial" w:cs="Arial"/>
          <w:b/>
          <w:sz w:val="24"/>
          <w:szCs w:val="24"/>
        </w:rPr>
        <w:t xml:space="preserve">COLABORÓ: </w:t>
      </w:r>
      <w:r>
        <w:rPr>
          <w:rFonts w:ascii="Arial" w:eastAsia="Arial" w:hAnsi="Arial" w:cs="Arial"/>
          <w:sz w:val="24"/>
          <w:szCs w:val="24"/>
        </w:rPr>
        <w:t>GUADALUPE JOCELYN MARTÍNEZ TAVAREZ E IVONNE AZUCENA ZAVALA SOTO.</w:t>
      </w:r>
    </w:p>
    <w:p w14:paraId="30A6A0EB" w14:textId="77777777" w:rsidR="00DE7B67" w:rsidRDefault="00DE7B67">
      <w:pPr>
        <w:pBdr>
          <w:top w:val="nil"/>
          <w:left w:val="nil"/>
          <w:bottom w:val="nil"/>
          <w:right w:val="nil"/>
          <w:between w:val="nil"/>
        </w:pBdr>
        <w:rPr>
          <w:color w:val="000000"/>
        </w:rPr>
      </w:pPr>
    </w:p>
    <w:p w14:paraId="03781950" w14:textId="77777777" w:rsidR="00DE7B67" w:rsidRDefault="00DE7B67">
      <w:pPr>
        <w:pBdr>
          <w:top w:val="nil"/>
          <w:left w:val="nil"/>
          <w:bottom w:val="nil"/>
          <w:right w:val="nil"/>
          <w:between w:val="nil"/>
        </w:pBdr>
        <w:rPr>
          <w:color w:val="000000"/>
        </w:rPr>
      </w:pPr>
    </w:p>
    <w:p w14:paraId="316FBF8C" w14:textId="72AE6E3C" w:rsidR="00DE7B67" w:rsidRDefault="00044E47">
      <w:pPr>
        <w:pBdr>
          <w:top w:val="nil"/>
          <w:left w:val="nil"/>
          <w:bottom w:val="nil"/>
          <w:right w:val="nil"/>
          <w:between w:val="nil"/>
        </w:pBdr>
        <w:spacing w:line="360" w:lineRule="auto"/>
        <w:ind w:right="36"/>
        <w:jc w:val="right"/>
        <w:rPr>
          <w:rFonts w:ascii="Arial" w:eastAsia="Arial" w:hAnsi="Arial" w:cs="Arial"/>
          <w:sz w:val="24"/>
          <w:szCs w:val="24"/>
        </w:rPr>
      </w:pPr>
      <w:r>
        <w:rPr>
          <w:rFonts w:ascii="Arial" w:eastAsia="Arial" w:hAnsi="Arial" w:cs="Arial"/>
          <w:sz w:val="24"/>
          <w:szCs w:val="24"/>
        </w:rPr>
        <w:t xml:space="preserve">Aguascalientes, </w:t>
      </w:r>
      <w:r w:rsidRPr="00BF64B4">
        <w:rPr>
          <w:rFonts w:ascii="Arial" w:eastAsia="Arial" w:hAnsi="Arial" w:cs="Arial"/>
          <w:sz w:val="24"/>
          <w:szCs w:val="24"/>
        </w:rPr>
        <w:t xml:space="preserve">Aguascalientes, </w:t>
      </w:r>
      <w:r w:rsidRPr="00BF64B4">
        <w:rPr>
          <w:rFonts w:ascii="Arial" w:eastAsia="Arial" w:hAnsi="Arial" w:cs="Arial"/>
          <w:color w:val="000000"/>
          <w:sz w:val="24"/>
          <w:szCs w:val="24"/>
        </w:rPr>
        <w:t xml:space="preserve">a </w:t>
      </w:r>
      <w:r w:rsidR="00E818C0" w:rsidRPr="00BF64B4">
        <w:rPr>
          <w:rFonts w:ascii="Arial" w:eastAsia="Arial" w:hAnsi="Arial" w:cs="Arial"/>
          <w:sz w:val="24"/>
          <w:szCs w:val="24"/>
        </w:rPr>
        <w:t>30</w:t>
      </w:r>
      <w:r w:rsidRPr="00BF64B4">
        <w:rPr>
          <w:rFonts w:ascii="Arial" w:eastAsia="Arial" w:hAnsi="Arial" w:cs="Arial"/>
          <w:sz w:val="24"/>
          <w:szCs w:val="24"/>
        </w:rPr>
        <w:t xml:space="preserve"> </w:t>
      </w:r>
      <w:r w:rsidRPr="00BF64B4">
        <w:rPr>
          <w:rFonts w:ascii="Arial" w:eastAsia="Arial" w:hAnsi="Arial" w:cs="Arial"/>
          <w:color w:val="000000"/>
          <w:sz w:val="24"/>
          <w:szCs w:val="24"/>
        </w:rPr>
        <w:t>de junio de</w:t>
      </w:r>
      <w:r>
        <w:rPr>
          <w:rFonts w:ascii="Arial" w:eastAsia="Arial" w:hAnsi="Arial" w:cs="Arial"/>
          <w:color w:val="000000"/>
          <w:sz w:val="24"/>
          <w:szCs w:val="24"/>
        </w:rPr>
        <w:t xml:space="preserve"> 2022</w:t>
      </w:r>
      <w:r>
        <w:rPr>
          <w:rFonts w:ascii="Arial" w:eastAsia="Arial" w:hAnsi="Arial" w:cs="Arial"/>
          <w:sz w:val="24"/>
          <w:szCs w:val="24"/>
        </w:rPr>
        <w:t>.</w:t>
      </w:r>
    </w:p>
    <w:p w14:paraId="27141B27" w14:textId="77777777" w:rsidR="00DE7B67" w:rsidRDefault="00DE7B67">
      <w:pPr>
        <w:pBdr>
          <w:top w:val="nil"/>
          <w:left w:val="nil"/>
          <w:bottom w:val="nil"/>
          <w:right w:val="nil"/>
          <w:between w:val="nil"/>
        </w:pBdr>
        <w:rPr>
          <w:b/>
          <w:color w:val="000000"/>
          <w:sz w:val="18"/>
          <w:szCs w:val="18"/>
        </w:rPr>
      </w:pPr>
    </w:p>
    <w:p w14:paraId="496270F9" w14:textId="77777777" w:rsidR="00DE7B67" w:rsidRDefault="00DE7B67">
      <w:pPr>
        <w:pBdr>
          <w:top w:val="nil"/>
          <w:left w:val="nil"/>
          <w:bottom w:val="nil"/>
          <w:right w:val="nil"/>
          <w:between w:val="nil"/>
        </w:pBdr>
        <w:rPr>
          <w:color w:val="000000"/>
        </w:rPr>
      </w:pPr>
    </w:p>
    <w:p w14:paraId="6094D713" w14:textId="77777777" w:rsidR="00DE7B67" w:rsidRDefault="00044E47">
      <w:pPr>
        <w:spacing w:line="360" w:lineRule="auto"/>
        <w:jc w:val="both"/>
        <w:rPr>
          <w:rFonts w:ascii="Arial" w:eastAsia="Arial" w:hAnsi="Arial" w:cs="Arial"/>
          <w:sz w:val="24"/>
          <w:szCs w:val="24"/>
        </w:rPr>
      </w:pPr>
      <w:bookmarkStart w:id="1" w:name="_heading=h.30j0zll" w:colFirst="0" w:colLast="0"/>
      <w:bookmarkEnd w:id="1"/>
      <w:r>
        <w:rPr>
          <w:rFonts w:ascii="Arial" w:eastAsia="Arial" w:hAnsi="Arial" w:cs="Arial"/>
          <w:b/>
          <w:sz w:val="24"/>
          <w:szCs w:val="24"/>
        </w:rPr>
        <w:t xml:space="preserve">Sentencia </w:t>
      </w:r>
      <w:r>
        <w:rPr>
          <w:rFonts w:ascii="Arial" w:eastAsia="Arial" w:hAnsi="Arial" w:cs="Arial"/>
          <w:sz w:val="24"/>
          <w:szCs w:val="24"/>
        </w:rPr>
        <w:t>del Tribunal Electoral</w:t>
      </w:r>
      <w:r>
        <w:rPr>
          <w:rFonts w:ascii="Arial" w:eastAsia="Arial" w:hAnsi="Arial" w:cs="Arial"/>
          <w:b/>
          <w:sz w:val="24"/>
          <w:szCs w:val="24"/>
        </w:rPr>
        <w:t xml:space="preserve"> </w:t>
      </w:r>
      <w:r>
        <w:rPr>
          <w:rFonts w:ascii="Arial" w:eastAsia="Arial" w:hAnsi="Arial" w:cs="Arial"/>
          <w:sz w:val="24"/>
          <w:szCs w:val="24"/>
        </w:rPr>
        <w:t xml:space="preserve">que declara: </w:t>
      </w:r>
      <w:r>
        <w:rPr>
          <w:rFonts w:ascii="Arial" w:eastAsia="Arial" w:hAnsi="Arial" w:cs="Arial"/>
          <w:b/>
          <w:i/>
          <w:sz w:val="24"/>
          <w:szCs w:val="24"/>
        </w:rPr>
        <w:t xml:space="preserve">a) </w:t>
      </w:r>
      <w:r>
        <w:rPr>
          <w:rFonts w:ascii="Arial" w:eastAsia="Arial" w:hAnsi="Arial" w:cs="Arial"/>
          <w:sz w:val="24"/>
          <w:szCs w:val="24"/>
        </w:rPr>
        <w:t xml:space="preserve">la </w:t>
      </w:r>
      <w:r>
        <w:rPr>
          <w:rFonts w:ascii="Arial" w:eastAsia="Arial" w:hAnsi="Arial" w:cs="Arial"/>
          <w:b/>
          <w:sz w:val="24"/>
          <w:szCs w:val="24"/>
        </w:rPr>
        <w:t xml:space="preserve">inexistencia </w:t>
      </w:r>
      <w:r>
        <w:rPr>
          <w:rFonts w:ascii="Arial" w:eastAsia="Arial" w:hAnsi="Arial" w:cs="Arial"/>
          <w:sz w:val="24"/>
          <w:szCs w:val="24"/>
        </w:rPr>
        <w:t xml:space="preserve">de la infracción atribuida a la entonces candidata María Teresa Jiménez Esquivel, derivada de su inasistencia al segundo debate obligatorio del Instituto Local, dado que, en el caso, se actualizó la eficacia refleja de la </w:t>
      </w:r>
      <w:r>
        <w:rPr>
          <w:rFonts w:ascii="Arial" w:eastAsia="Arial" w:hAnsi="Arial" w:cs="Arial"/>
          <w:b/>
          <w:sz w:val="24"/>
          <w:szCs w:val="24"/>
        </w:rPr>
        <w:t>cosa juzgada</w:t>
      </w:r>
      <w:r>
        <w:rPr>
          <w:rFonts w:ascii="Arial" w:eastAsia="Arial" w:hAnsi="Arial" w:cs="Arial"/>
          <w:sz w:val="24"/>
          <w:szCs w:val="24"/>
        </w:rPr>
        <w:t xml:space="preserve">. Ello, porque este órgano jurisdiccional considera que la conducta denunciada ya fue objeto de pronunciamiento en el procedimiento especial sancionador (TEEA-PES-052/2022), valorado por este órgano jurisdiccional, en el que su sentencia correspondiente, ha adquirido firmeza, al no haber sido recurrida dentro los cuatro días posteriores a su emisión y, </w:t>
      </w:r>
      <w:r>
        <w:rPr>
          <w:rFonts w:ascii="Arial" w:eastAsia="Arial" w:hAnsi="Arial" w:cs="Arial"/>
          <w:b/>
          <w:i/>
          <w:sz w:val="24"/>
          <w:szCs w:val="24"/>
        </w:rPr>
        <w:t xml:space="preserve">b) </w:t>
      </w:r>
      <w:r>
        <w:rPr>
          <w:rFonts w:ascii="Arial" w:eastAsia="Arial" w:hAnsi="Arial" w:cs="Arial"/>
          <w:sz w:val="24"/>
          <w:szCs w:val="24"/>
        </w:rPr>
        <w:t xml:space="preserve">la </w:t>
      </w:r>
      <w:r>
        <w:rPr>
          <w:rFonts w:ascii="Arial" w:eastAsia="Arial" w:hAnsi="Arial" w:cs="Arial"/>
          <w:b/>
          <w:sz w:val="24"/>
          <w:szCs w:val="24"/>
        </w:rPr>
        <w:t xml:space="preserve">existencia </w:t>
      </w:r>
      <w:r>
        <w:rPr>
          <w:rFonts w:ascii="Arial" w:eastAsia="Arial" w:hAnsi="Arial" w:cs="Arial"/>
          <w:sz w:val="24"/>
          <w:szCs w:val="24"/>
        </w:rPr>
        <w:t xml:space="preserve">de culpa </w:t>
      </w:r>
      <w:r>
        <w:rPr>
          <w:rFonts w:ascii="Arial" w:eastAsia="Arial" w:hAnsi="Arial" w:cs="Arial"/>
          <w:i/>
          <w:sz w:val="24"/>
          <w:szCs w:val="24"/>
        </w:rPr>
        <w:t>in vigilando</w:t>
      </w:r>
      <w:r>
        <w:rPr>
          <w:rFonts w:ascii="Arial" w:eastAsia="Arial" w:hAnsi="Arial" w:cs="Arial"/>
          <w:sz w:val="24"/>
          <w:szCs w:val="24"/>
        </w:rPr>
        <w:t xml:space="preserve"> a los institutos políticos PAN, PRI y PRD, ya que, al ser una cuestión novedosa planteada en la presente controversia, implica que no se estudió en el asunto precisado con anterioridad, resulta reprochable su incumplimiento al deber de cuidado en relación a que su candidata se presentara al debate en comento.</w:t>
      </w:r>
    </w:p>
    <w:p w14:paraId="490BCCD8" w14:textId="77777777" w:rsidR="00DE7B67" w:rsidRDefault="00DE7B67">
      <w:pPr>
        <w:pBdr>
          <w:top w:val="nil"/>
          <w:left w:val="nil"/>
          <w:bottom w:val="nil"/>
          <w:right w:val="nil"/>
          <w:between w:val="nil"/>
        </w:pBdr>
        <w:rPr>
          <w:color w:val="000000"/>
        </w:rPr>
      </w:pPr>
    </w:p>
    <w:p w14:paraId="64BE453F" w14:textId="77777777" w:rsidR="00DE7B67" w:rsidRDefault="00044E47">
      <w:pPr>
        <w:spacing w:line="360" w:lineRule="auto"/>
        <w:jc w:val="both"/>
        <w:rPr>
          <w:rFonts w:ascii="Arial" w:eastAsia="Arial" w:hAnsi="Arial" w:cs="Arial"/>
          <w:b/>
          <w:color w:val="000000"/>
          <w:sz w:val="16"/>
          <w:szCs w:val="16"/>
        </w:rPr>
      </w:pPr>
      <w:bookmarkStart w:id="2" w:name="_heading=h.g687188sr8bc" w:colFirst="0" w:colLast="0"/>
      <w:bookmarkEnd w:id="2"/>
      <w:r>
        <w:rPr>
          <w:rFonts w:ascii="Arial" w:eastAsia="Arial" w:hAnsi="Arial" w:cs="Arial"/>
          <w:b/>
          <w:color w:val="000000"/>
          <w:sz w:val="16"/>
          <w:szCs w:val="16"/>
        </w:rPr>
        <w:t xml:space="preserve">                                                                                       Índice</w:t>
      </w:r>
    </w:p>
    <w:p w14:paraId="7273665D" w14:textId="77777777" w:rsidR="00DE7B67" w:rsidRDefault="00044E47">
      <w:pPr>
        <w:ind w:left="993" w:right="616"/>
        <w:rPr>
          <w:rFonts w:ascii="Arial" w:eastAsia="Arial" w:hAnsi="Arial" w:cs="Arial"/>
          <w:b/>
          <w:sz w:val="16"/>
          <w:szCs w:val="16"/>
        </w:rPr>
      </w:pPr>
      <w:r>
        <w:rPr>
          <w:rFonts w:ascii="Arial" w:eastAsia="Arial" w:hAnsi="Arial" w:cs="Arial"/>
          <w:b/>
          <w:sz w:val="16"/>
          <w:szCs w:val="16"/>
        </w:rPr>
        <w:t>Contexto del caso ………………………………………………………………………………………</w:t>
      </w:r>
      <w:proofErr w:type="gramStart"/>
      <w:r>
        <w:rPr>
          <w:rFonts w:ascii="Arial" w:eastAsia="Arial" w:hAnsi="Arial" w:cs="Arial"/>
          <w:b/>
          <w:sz w:val="16"/>
          <w:szCs w:val="16"/>
        </w:rPr>
        <w:t>…….</w:t>
      </w:r>
      <w:proofErr w:type="gramEnd"/>
      <w:r>
        <w:rPr>
          <w:rFonts w:ascii="Arial" w:eastAsia="Arial" w:hAnsi="Arial" w:cs="Arial"/>
          <w:b/>
          <w:sz w:val="16"/>
          <w:szCs w:val="16"/>
        </w:rPr>
        <w:t>.2</w:t>
      </w:r>
    </w:p>
    <w:p w14:paraId="502AEDE1" w14:textId="77777777" w:rsidR="00DE7B67" w:rsidRDefault="00044E47">
      <w:pPr>
        <w:ind w:left="993" w:right="616"/>
        <w:rPr>
          <w:rFonts w:ascii="Arial" w:eastAsia="Arial" w:hAnsi="Arial" w:cs="Arial"/>
          <w:b/>
          <w:sz w:val="16"/>
          <w:szCs w:val="16"/>
        </w:rPr>
      </w:pPr>
      <w:r>
        <w:rPr>
          <w:rFonts w:ascii="Arial" w:eastAsia="Arial" w:hAnsi="Arial" w:cs="Arial"/>
          <w:b/>
          <w:sz w:val="16"/>
          <w:szCs w:val="16"/>
        </w:rPr>
        <w:t>Competencia ………………………………………………………………………………………………......</w:t>
      </w:r>
      <w:r>
        <w:rPr>
          <w:rFonts w:ascii="Arial" w:eastAsia="Arial" w:hAnsi="Arial" w:cs="Arial"/>
          <w:b/>
          <w:sz w:val="12"/>
          <w:szCs w:val="12"/>
        </w:rPr>
        <w:t>.</w:t>
      </w:r>
      <w:r>
        <w:rPr>
          <w:rFonts w:ascii="Arial" w:eastAsia="Arial" w:hAnsi="Arial" w:cs="Arial"/>
          <w:b/>
          <w:sz w:val="16"/>
          <w:szCs w:val="16"/>
        </w:rPr>
        <w:t>3</w:t>
      </w:r>
    </w:p>
    <w:p w14:paraId="19F4A064" w14:textId="77777777" w:rsidR="00DE7B67" w:rsidRDefault="00044E47">
      <w:pPr>
        <w:ind w:left="993" w:right="616"/>
        <w:rPr>
          <w:rFonts w:ascii="Arial" w:eastAsia="Arial" w:hAnsi="Arial" w:cs="Arial"/>
          <w:b/>
          <w:sz w:val="16"/>
          <w:szCs w:val="16"/>
        </w:rPr>
      </w:pPr>
      <w:r>
        <w:rPr>
          <w:rFonts w:ascii="Arial" w:eastAsia="Arial" w:hAnsi="Arial" w:cs="Arial"/>
          <w:b/>
          <w:sz w:val="16"/>
          <w:szCs w:val="16"/>
        </w:rPr>
        <w:t>Personería ………………………………………………………………………………………………</w:t>
      </w:r>
      <w:proofErr w:type="gramStart"/>
      <w:r>
        <w:rPr>
          <w:rFonts w:ascii="Arial" w:eastAsia="Arial" w:hAnsi="Arial" w:cs="Arial"/>
          <w:b/>
          <w:sz w:val="16"/>
          <w:szCs w:val="16"/>
        </w:rPr>
        <w:t>…....</w:t>
      </w:r>
      <w:proofErr w:type="gramEnd"/>
      <w:r>
        <w:rPr>
          <w:rFonts w:ascii="Arial" w:eastAsia="Arial" w:hAnsi="Arial" w:cs="Arial"/>
          <w:b/>
          <w:sz w:val="14"/>
          <w:szCs w:val="14"/>
        </w:rPr>
        <w:t>…</w:t>
      </w:r>
      <w:r>
        <w:rPr>
          <w:rFonts w:ascii="Arial" w:eastAsia="Arial" w:hAnsi="Arial" w:cs="Arial"/>
          <w:b/>
          <w:sz w:val="16"/>
          <w:szCs w:val="16"/>
        </w:rPr>
        <w:t>3</w:t>
      </w:r>
    </w:p>
    <w:p w14:paraId="58B9D306" w14:textId="77777777" w:rsidR="00DE7B67" w:rsidRDefault="00044E47">
      <w:pPr>
        <w:ind w:left="993" w:right="616"/>
        <w:rPr>
          <w:rFonts w:ascii="Arial" w:eastAsia="Arial" w:hAnsi="Arial" w:cs="Arial"/>
          <w:b/>
          <w:sz w:val="16"/>
          <w:szCs w:val="16"/>
        </w:rPr>
      </w:pPr>
      <w:r>
        <w:rPr>
          <w:rFonts w:ascii="Arial" w:eastAsia="Arial" w:hAnsi="Arial" w:cs="Arial"/>
          <w:b/>
          <w:sz w:val="16"/>
          <w:szCs w:val="16"/>
        </w:rPr>
        <w:t>Causales de improcedencia …………………………………………………………………………………3</w:t>
      </w:r>
    </w:p>
    <w:p w14:paraId="6BE17DF2" w14:textId="77777777" w:rsidR="00DE7B67" w:rsidRDefault="00044E47">
      <w:pPr>
        <w:ind w:left="993" w:right="616"/>
        <w:rPr>
          <w:rFonts w:ascii="Arial" w:eastAsia="Arial" w:hAnsi="Arial" w:cs="Arial"/>
          <w:b/>
          <w:sz w:val="16"/>
          <w:szCs w:val="16"/>
        </w:rPr>
      </w:pPr>
      <w:r>
        <w:rPr>
          <w:rFonts w:ascii="Arial" w:eastAsia="Arial" w:hAnsi="Arial" w:cs="Arial"/>
          <w:b/>
          <w:sz w:val="16"/>
          <w:szCs w:val="16"/>
        </w:rPr>
        <w:t>Estudio de fondo……………………………………………………………………………</w:t>
      </w:r>
      <w:proofErr w:type="gramStart"/>
      <w:r>
        <w:rPr>
          <w:rFonts w:ascii="Arial" w:eastAsia="Arial" w:hAnsi="Arial" w:cs="Arial"/>
          <w:b/>
          <w:sz w:val="16"/>
          <w:szCs w:val="16"/>
        </w:rPr>
        <w:t>…....</w:t>
      </w:r>
      <w:proofErr w:type="gramEnd"/>
      <w:r>
        <w:rPr>
          <w:rFonts w:ascii="Arial" w:eastAsia="Arial" w:hAnsi="Arial" w:cs="Arial"/>
          <w:b/>
          <w:sz w:val="16"/>
          <w:szCs w:val="16"/>
        </w:rPr>
        <w:t>.…………...</w:t>
      </w:r>
      <w:r>
        <w:rPr>
          <w:rFonts w:ascii="Arial" w:eastAsia="Arial" w:hAnsi="Arial" w:cs="Arial"/>
          <w:b/>
          <w:sz w:val="6"/>
          <w:szCs w:val="6"/>
        </w:rPr>
        <w:t>.</w:t>
      </w:r>
      <w:r>
        <w:rPr>
          <w:rFonts w:ascii="Arial" w:eastAsia="Arial" w:hAnsi="Arial" w:cs="Arial"/>
          <w:b/>
          <w:sz w:val="16"/>
          <w:szCs w:val="16"/>
        </w:rPr>
        <w:t>4</w:t>
      </w:r>
    </w:p>
    <w:p w14:paraId="44A994EA" w14:textId="77777777" w:rsidR="00DE7B67" w:rsidRDefault="00044E47">
      <w:pPr>
        <w:ind w:left="993" w:right="616"/>
        <w:rPr>
          <w:rFonts w:ascii="Arial" w:eastAsia="Arial" w:hAnsi="Arial" w:cs="Arial"/>
          <w:b/>
          <w:sz w:val="16"/>
          <w:szCs w:val="16"/>
        </w:rPr>
      </w:pPr>
      <w:r>
        <w:rPr>
          <w:rFonts w:ascii="Arial" w:eastAsia="Arial" w:hAnsi="Arial" w:cs="Arial"/>
          <w:b/>
          <w:sz w:val="16"/>
          <w:szCs w:val="16"/>
        </w:rPr>
        <w:t>Análisis de fondo …………………………………………………………………………………………</w:t>
      </w:r>
      <w:proofErr w:type="gramStart"/>
      <w:r>
        <w:rPr>
          <w:rFonts w:ascii="Arial" w:eastAsia="Arial" w:hAnsi="Arial" w:cs="Arial"/>
          <w:b/>
          <w:sz w:val="16"/>
          <w:szCs w:val="16"/>
        </w:rPr>
        <w:t>…...</w:t>
      </w:r>
      <w:r>
        <w:rPr>
          <w:rFonts w:ascii="Arial" w:eastAsia="Arial" w:hAnsi="Arial" w:cs="Arial"/>
          <w:b/>
          <w:sz w:val="4"/>
          <w:szCs w:val="4"/>
        </w:rPr>
        <w:t>.</w:t>
      </w:r>
      <w:proofErr w:type="gramEnd"/>
      <w:r>
        <w:rPr>
          <w:rFonts w:ascii="Arial" w:eastAsia="Arial" w:hAnsi="Arial" w:cs="Arial"/>
          <w:b/>
          <w:sz w:val="16"/>
          <w:szCs w:val="16"/>
        </w:rPr>
        <w:t>6</w:t>
      </w:r>
    </w:p>
    <w:p w14:paraId="38C2B358" w14:textId="77777777" w:rsidR="00DE7B67" w:rsidRDefault="00044E47">
      <w:pPr>
        <w:ind w:left="993" w:right="616"/>
        <w:rPr>
          <w:rFonts w:ascii="Arial" w:eastAsia="Arial" w:hAnsi="Arial" w:cs="Arial"/>
          <w:sz w:val="16"/>
          <w:szCs w:val="16"/>
        </w:rPr>
      </w:pPr>
      <w:r>
        <w:rPr>
          <w:rFonts w:ascii="Arial" w:eastAsia="Arial" w:hAnsi="Arial" w:cs="Arial"/>
          <w:sz w:val="16"/>
          <w:szCs w:val="16"/>
        </w:rPr>
        <w:t>Apartado I. Decisión………………………………………………………………………………………</w:t>
      </w:r>
      <w:proofErr w:type="gramStart"/>
      <w:r>
        <w:rPr>
          <w:rFonts w:ascii="Arial" w:eastAsia="Arial" w:hAnsi="Arial" w:cs="Arial"/>
          <w:sz w:val="16"/>
          <w:szCs w:val="16"/>
        </w:rPr>
        <w:t>…….</w:t>
      </w:r>
      <w:proofErr w:type="gramEnd"/>
      <w:r>
        <w:rPr>
          <w:rFonts w:ascii="Arial" w:eastAsia="Arial" w:hAnsi="Arial" w:cs="Arial"/>
          <w:sz w:val="16"/>
          <w:szCs w:val="16"/>
        </w:rPr>
        <w:t>.</w:t>
      </w:r>
      <w:r>
        <w:rPr>
          <w:rFonts w:ascii="Arial" w:eastAsia="Arial" w:hAnsi="Arial" w:cs="Arial"/>
          <w:b/>
          <w:sz w:val="16"/>
          <w:szCs w:val="16"/>
        </w:rPr>
        <w:t>7</w:t>
      </w:r>
    </w:p>
    <w:p w14:paraId="206704BF" w14:textId="77777777" w:rsidR="00DE7B67" w:rsidRDefault="00044E47">
      <w:pPr>
        <w:ind w:left="993" w:right="616"/>
        <w:rPr>
          <w:rFonts w:ascii="Arial" w:eastAsia="Arial" w:hAnsi="Arial" w:cs="Arial"/>
          <w:sz w:val="16"/>
          <w:szCs w:val="16"/>
        </w:rPr>
      </w:pPr>
      <w:r>
        <w:rPr>
          <w:rFonts w:ascii="Arial" w:eastAsia="Arial" w:hAnsi="Arial" w:cs="Arial"/>
          <w:sz w:val="16"/>
          <w:szCs w:val="16"/>
        </w:rPr>
        <w:t>Apartado II. Desarrollo y justificación de la decisión…………………………………………………………</w:t>
      </w:r>
      <w:r>
        <w:rPr>
          <w:rFonts w:ascii="Arial" w:eastAsia="Arial" w:hAnsi="Arial" w:cs="Arial"/>
          <w:b/>
          <w:sz w:val="16"/>
          <w:szCs w:val="16"/>
        </w:rPr>
        <w:t>7</w:t>
      </w:r>
    </w:p>
    <w:p w14:paraId="2B2DDBB2" w14:textId="77777777" w:rsidR="00DE7B67" w:rsidRDefault="00044E47">
      <w:pPr>
        <w:tabs>
          <w:tab w:val="right" w:pos="8263"/>
          <w:tab w:val="left" w:pos="8789"/>
        </w:tabs>
        <w:ind w:left="993" w:right="616"/>
        <w:rPr>
          <w:rFonts w:ascii="Arial" w:eastAsia="Arial" w:hAnsi="Arial" w:cs="Arial"/>
          <w:b/>
          <w:sz w:val="16"/>
          <w:szCs w:val="16"/>
        </w:rPr>
      </w:pPr>
      <w:r>
        <w:rPr>
          <w:rFonts w:ascii="Arial" w:eastAsia="Arial" w:hAnsi="Arial" w:cs="Arial"/>
          <w:sz w:val="16"/>
          <w:szCs w:val="16"/>
        </w:rPr>
        <w:t>Culpa in vigilando...…</w:t>
      </w:r>
      <w:proofErr w:type="gramStart"/>
      <w:r>
        <w:rPr>
          <w:rFonts w:ascii="Arial" w:eastAsia="Arial" w:hAnsi="Arial" w:cs="Arial"/>
          <w:sz w:val="16"/>
          <w:szCs w:val="16"/>
        </w:rPr>
        <w:t>…….</w:t>
      </w:r>
      <w:proofErr w:type="gramEnd"/>
      <w:r>
        <w:rPr>
          <w:rFonts w:ascii="Arial" w:eastAsia="Arial" w:hAnsi="Arial" w:cs="Arial"/>
          <w:sz w:val="16"/>
          <w:szCs w:val="16"/>
        </w:rPr>
        <w:t>.…………………………………………………………………....…………......</w:t>
      </w:r>
      <w:r>
        <w:rPr>
          <w:rFonts w:ascii="Arial" w:eastAsia="Arial" w:hAnsi="Arial" w:cs="Arial"/>
          <w:b/>
          <w:sz w:val="16"/>
          <w:szCs w:val="16"/>
        </w:rPr>
        <w:t>19</w:t>
      </w:r>
    </w:p>
    <w:p w14:paraId="1951FA02" w14:textId="77777777" w:rsidR="00DE7B67" w:rsidRDefault="00044E47">
      <w:pPr>
        <w:tabs>
          <w:tab w:val="right" w:pos="8263"/>
        </w:tabs>
        <w:ind w:left="993" w:right="616"/>
        <w:rPr>
          <w:rFonts w:ascii="Arial" w:eastAsia="Arial" w:hAnsi="Arial" w:cs="Arial"/>
          <w:b/>
          <w:sz w:val="16"/>
          <w:szCs w:val="16"/>
        </w:rPr>
      </w:pPr>
      <w:proofErr w:type="gramStart"/>
      <w:r>
        <w:rPr>
          <w:rFonts w:ascii="Arial" w:eastAsia="Arial" w:hAnsi="Arial" w:cs="Arial"/>
          <w:b/>
          <w:sz w:val="16"/>
          <w:szCs w:val="16"/>
        </w:rPr>
        <w:t>Resolutivos.…</w:t>
      </w:r>
      <w:proofErr w:type="gramEnd"/>
      <w:r>
        <w:rPr>
          <w:rFonts w:ascii="Arial" w:eastAsia="Arial" w:hAnsi="Arial" w:cs="Arial"/>
          <w:b/>
          <w:sz w:val="16"/>
          <w:szCs w:val="16"/>
        </w:rPr>
        <w:t>………………………………………………………………………………….....…………...19</w:t>
      </w:r>
    </w:p>
    <w:p w14:paraId="78F0D6FF" w14:textId="77777777" w:rsidR="00DE7B67" w:rsidRDefault="00DE7B67">
      <w:pPr>
        <w:spacing w:line="360" w:lineRule="auto"/>
        <w:ind w:right="2324"/>
        <w:rPr>
          <w:rFonts w:ascii="Arial" w:eastAsia="Arial" w:hAnsi="Arial" w:cs="Arial"/>
          <w:b/>
          <w:sz w:val="16"/>
          <w:szCs w:val="16"/>
        </w:rPr>
      </w:pPr>
    </w:p>
    <w:p w14:paraId="4A74DE49" w14:textId="77777777" w:rsidR="00DE7B67" w:rsidRDefault="00DE7B67">
      <w:pPr>
        <w:spacing w:line="360" w:lineRule="auto"/>
        <w:ind w:right="2324"/>
        <w:rPr>
          <w:rFonts w:ascii="Arial" w:eastAsia="Arial" w:hAnsi="Arial" w:cs="Arial"/>
          <w:b/>
          <w:sz w:val="16"/>
          <w:szCs w:val="16"/>
        </w:rPr>
      </w:pPr>
    </w:p>
    <w:p w14:paraId="6CD6BCF0" w14:textId="77777777" w:rsidR="00E818C0" w:rsidRDefault="00E818C0">
      <w:pPr>
        <w:rPr>
          <w:rFonts w:ascii="Arial" w:eastAsia="Arial" w:hAnsi="Arial" w:cs="Arial"/>
          <w:b/>
          <w:sz w:val="16"/>
          <w:szCs w:val="16"/>
        </w:rPr>
      </w:pPr>
      <w:r>
        <w:rPr>
          <w:rFonts w:ascii="Arial" w:eastAsia="Arial" w:hAnsi="Arial" w:cs="Arial"/>
          <w:b/>
          <w:sz w:val="16"/>
          <w:szCs w:val="16"/>
        </w:rPr>
        <w:br w:type="page"/>
      </w:r>
    </w:p>
    <w:p w14:paraId="008074DC" w14:textId="76EFE951" w:rsidR="00DE7B67" w:rsidRDefault="00044E47" w:rsidP="00E818C0">
      <w:pPr>
        <w:spacing w:line="360" w:lineRule="auto"/>
        <w:ind w:left="3881" w:right="2324" w:hanging="140"/>
        <w:rPr>
          <w:rFonts w:ascii="Arial" w:eastAsia="Arial" w:hAnsi="Arial" w:cs="Arial"/>
          <w:b/>
          <w:sz w:val="16"/>
          <w:szCs w:val="16"/>
        </w:rPr>
      </w:pPr>
      <w:r>
        <w:rPr>
          <w:rFonts w:ascii="Arial" w:eastAsia="Arial" w:hAnsi="Arial" w:cs="Arial"/>
          <w:b/>
          <w:sz w:val="16"/>
          <w:szCs w:val="16"/>
        </w:rPr>
        <w:lastRenderedPageBreak/>
        <w:t xml:space="preserve"> Glosario</w:t>
      </w:r>
    </w:p>
    <w:tbl>
      <w:tblPr>
        <w:tblStyle w:val="aff6"/>
        <w:tblW w:w="7370" w:type="dxa"/>
        <w:tblInd w:w="851" w:type="dxa"/>
        <w:tblLayout w:type="fixed"/>
        <w:tblLook w:val="0400" w:firstRow="0" w:lastRow="0" w:firstColumn="0" w:lastColumn="0" w:noHBand="0" w:noVBand="1"/>
      </w:tblPr>
      <w:tblGrid>
        <w:gridCol w:w="1843"/>
        <w:gridCol w:w="5527"/>
      </w:tblGrid>
      <w:tr w:rsidR="00DE7B67" w14:paraId="1563153C" w14:textId="77777777">
        <w:trPr>
          <w:trHeight w:val="3670"/>
        </w:trPr>
        <w:tc>
          <w:tcPr>
            <w:tcW w:w="1843" w:type="dxa"/>
            <w:shd w:val="clear" w:color="auto" w:fill="auto"/>
          </w:tcPr>
          <w:p w14:paraId="5B0FC355" w14:textId="77777777" w:rsidR="00DE7B67" w:rsidRDefault="00044E47">
            <w:pPr>
              <w:spacing w:line="276" w:lineRule="auto"/>
              <w:jc w:val="both"/>
              <w:rPr>
                <w:rFonts w:ascii="Arial" w:eastAsia="Arial" w:hAnsi="Arial" w:cs="Arial"/>
                <w:b/>
                <w:color w:val="000000"/>
                <w:sz w:val="16"/>
                <w:szCs w:val="16"/>
              </w:rPr>
            </w:pPr>
            <w:r>
              <w:rPr>
                <w:rFonts w:ascii="Arial" w:eastAsia="Arial" w:hAnsi="Arial" w:cs="Arial"/>
                <w:b/>
                <w:color w:val="000000"/>
                <w:sz w:val="16"/>
                <w:szCs w:val="16"/>
              </w:rPr>
              <w:t>Denunciante:</w:t>
            </w:r>
          </w:p>
          <w:p w14:paraId="06C5828E" w14:textId="77777777" w:rsidR="00DE7B67" w:rsidRDefault="00044E47">
            <w:pPr>
              <w:spacing w:line="276" w:lineRule="auto"/>
              <w:jc w:val="both"/>
              <w:rPr>
                <w:rFonts w:ascii="Arial" w:eastAsia="Arial" w:hAnsi="Arial" w:cs="Arial"/>
                <w:b/>
                <w:color w:val="000000"/>
                <w:sz w:val="16"/>
                <w:szCs w:val="16"/>
              </w:rPr>
            </w:pPr>
            <w:r>
              <w:rPr>
                <w:rFonts w:ascii="Arial" w:eastAsia="Arial" w:hAnsi="Arial" w:cs="Arial"/>
                <w:b/>
                <w:color w:val="000000"/>
                <w:sz w:val="16"/>
                <w:szCs w:val="16"/>
              </w:rPr>
              <w:t xml:space="preserve">Denunciados: </w:t>
            </w:r>
          </w:p>
          <w:p w14:paraId="622E2506" w14:textId="77777777" w:rsidR="00DE7B67" w:rsidRDefault="00DE7B67">
            <w:pPr>
              <w:spacing w:line="276" w:lineRule="auto"/>
              <w:jc w:val="both"/>
              <w:rPr>
                <w:rFonts w:ascii="Arial" w:eastAsia="Arial" w:hAnsi="Arial" w:cs="Arial"/>
                <w:b/>
                <w:color w:val="000000"/>
                <w:sz w:val="16"/>
                <w:szCs w:val="16"/>
              </w:rPr>
            </w:pPr>
          </w:p>
          <w:p w14:paraId="1F4F542A" w14:textId="77777777" w:rsidR="00DE7B67" w:rsidRDefault="00DE7B67">
            <w:pPr>
              <w:spacing w:line="276" w:lineRule="auto"/>
              <w:jc w:val="both"/>
              <w:rPr>
                <w:rFonts w:ascii="Arial" w:eastAsia="Arial" w:hAnsi="Arial" w:cs="Arial"/>
                <w:b/>
                <w:color w:val="000000"/>
                <w:sz w:val="16"/>
                <w:szCs w:val="16"/>
              </w:rPr>
            </w:pPr>
          </w:p>
          <w:p w14:paraId="14EDB986" w14:textId="77777777" w:rsidR="00DE7B67" w:rsidRDefault="00044E47">
            <w:pPr>
              <w:spacing w:line="276" w:lineRule="auto"/>
              <w:jc w:val="both"/>
              <w:rPr>
                <w:rFonts w:ascii="Arial" w:eastAsia="Arial" w:hAnsi="Arial" w:cs="Arial"/>
                <w:b/>
                <w:color w:val="000000"/>
                <w:sz w:val="16"/>
                <w:szCs w:val="16"/>
              </w:rPr>
            </w:pPr>
            <w:r>
              <w:rPr>
                <w:rFonts w:ascii="Arial" w:eastAsia="Arial" w:hAnsi="Arial" w:cs="Arial"/>
                <w:b/>
                <w:color w:val="000000"/>
                <w:sz w:val="16"/>
                <w:szCs w:val="16"/>
              </w:rPr>
              <w:t>Código Electoral:</w:t>
            </w:r>
          </w:p>
          <w:p w14:paraId="7EF307CB" w14:textId="77777777" w:rsidR="00DE7B67" w:rsidRDefault="00044E47">
            <w:pPr>
              <w:spacing w:line="276" w:lineRule="auto"/>
              <w:jc w:val="both"/>
              <w:rPr>
                <w:rFonts w:ascii="Arial" w:eastAsia="Arial" w:hAnsi="Arial" w:cs="Arial"/>
                <w:b/>
                <w:color w:val="000000"/>
                <w:sz w:val="16"/>
                <w:szCs w:val="16"/>
              </w:rPr>
            </w:pPr>
            <w:r>
              <w:rPr>
                <w:rFonts w:ascii="Arial" w:eastAsia="Arial" w:hAnsi="Arial" w:cs="Arial"/>
                <w:b/>
                <w:color w:val="000000"/>
                <w:sz w:val="16"/>
                <w:szCs w:val="16"/>
              </w:rPr>
              <w:t>Consejo General:</w:t>
            </w:r>
          </w:p>
          <w:p w14:paraId="4C7EE6D7" w14:textId="77777777" w:rsidR="00DE7B67" w:rsidRDefault="00044E47">
            <w:pPr>
              <w:spacing w:line="276" w:lineRule="auto"/>
              <w:jc w:val="both"/>
              <w:rPr>
                <w:rFonts w:ascii="Arial" w:eastAsia="Arial" w:hAnsi="Arial" w:cs="Arial"/>
                <w:b/>
                <w:color w:val="000000"/>
                <w:sz w:val="16"/>
                <w:szCs w:val="16"/>
              </w:rPr>
            </w:pPr>
            <w:r>
              <w:rPr>
                <w:rFonts w:ascii="Arial" w:eastAsia="Arial" w:hAnsi="Arial" w:cs="Arial"/>
                <w:b/>
                <w:color w:val="000000"/>
                <w:sz w:val="16"/>
                <w:szCs w:val="16"/>
              </w:rPr>
              <w:t>Instituto Local:</w:t>
            </w:r>
          </w:p>
          <w:p w14:paraId="3B6A95C1" w14:textId="77777777" w:rsidR="00DE7B67" w:rsidRDefault="00044E47">
            <w:pPr>
              <w:spacing w:line="276" w:lineRule="auto"/>
              <w:jc w:val="both"/>
              <w:rPr>
                <w:rFonts w:ascii="Arial" w:eastAsia="Arial" w:hAnsi="Arial" w:cs="Arial"/>
                <w:b/>
                <w:color w:val="000000"/>
                <w:sz w:val="16"/>
                <w:szCs w:val="16"/>
              </w:rPr>
            </w:pPr>
            <w:r>
              <w:rPr>
                <w:rFonts w:ascii="Arial" w:eastAsia="Arial" w:hAnsi="Arial" w:cs="Arial"/>
                <w:b/>
                <w:color w:val="000000"/>
                <w:sz w:val="16"/>
                <w:szCs w:val="16"/>
              </w:rPr>
              <w:t xml:space="preserve">LEGIPE: </w:t>
            </w:r>
          </w:p>
          <w:p w14:paraId="02FFEA2E" w14:textId="77777777" w:rsidR="00DE7B67" w:rsidRDefault="00044E47">
            <w:pPr>
              <w:spacing w:line="276" w:lineRule="auto"/>
              <w:jc w:val="both"/>
              <w:rPr>
                <w:rFonts w:ascii="Arial" w:eastAsia="Arial" w:hAnsi="Arial" w:cs="Arial"/>
                <w:b/>
                <w:color w:val="000000"/>
                <w:sz w:val="16"/>
                <w:szCs w:val="16"/>
              </w:rPr>
            </w:pPr>
            <w:r>
              <w:rPr>
                <w:rFonts w:ascii="Arial" w:eastAsia="Arial" w:hAnsi="Arial" w:cs="Arial"/>
                <w:b/>
                <w:color w:val="000000"/>
                <w:sz w:val="16"/>
                <w:szCs w:val="16"/>
              </w:rPr>
              <w:t>MORENA:</w:t>
            </w:r>
          </w:p>
          <w:p w14:paraId="2EC78AC1" w14:textId="77777777" w:rsidR="00DE7B67" w:rsidRDefault="00044E47">
            <w:pPr>
              <w:spacing w:line="276" w:lineRule="auto"/>
              <w:jc w:val="both"/>
              <w:rPr>
                <w:rFonts w:ascii="Arial" w:eastAsia="Arial" w:hAnsi="Arial" w:cs="Arial"/>
                <w:b/>
                <w:color w:val="000000"/>
                <w:sz w:val="16"/>
                <w:szCs w:val="16"/>
              </w:rPr>
            </w:pPr>
            <w:r>
              <w:rPr>
                <w:rFonts w:ascii="Arial" w:eastAsia="Arial" w:hAnsi="Arial" w:cs="Arial"/>
                <w:b/>
                <w:color w:val="000000"/>
                <w:sz w:val="16"/>
                <w:szCs w:val="16"/>
              </w:rPr>
              <w:t>Sala Superior:</w:t>
            </w:r>
          </w:p>
          <w:p w14:paraId="3822CFC1" w14:textId="77777777" w:rsidR="00DE7B67" w:rsidRDefault="00044E47">
            <w:pPr>
              <w:spacing w:line="276" w:lineRule="auto"/>
              <w:jc w:val="both"/>
              <w:rPr>
                <w:rFonts w:ascii="Arial" w:eastAsia="Arial" w:hAnsi="Arial" w:cs="Arial"/>
                <w:b/>
                <w:color w:val="000000"/>
                <w:sz w:val="16"/>
                <w:szCs w:val="16"/>
              </w:rPr>
            </w:pPr>
            <w:r>
              <w:rPr>
                <w:rFonts w:ascii="Arial" w:eastAsia="Arial" w:hAnsi="Arial" w:cs="Arial"/>
                <w:b/>
                <w:color w:val="000000"/>
                <w:sz w:val="16"/>
                <w:szCs w:val="16"/>
              </w:rPr>
              <w:t>Secretario Ejecutivo:</w:t>
            </w:r>
          </w:p>
          <w:p w14:paraId="2A88EE17" w14:textId="77777777" w:rsidR="00DE7B67" w:rsidRDefault="00044E47">
            <w:pPr>
              <w:spacing w:line="276" w:lineRule="auto"/>
              <w:jc w:val="both"/>
              <w:rPr>
                <w:rFonts w:ascii="Arial" w:eastAsia="Arial" w:hAnsi="Arial" w:cs="Arial"/>
                <w:b/>
                <w:color w:val="000000"/>
                <w:sz w:val="16"/>
                <w:szCs w:val="16"/>
              </w:rPr>
            </w:pPr>
            <w:r>
              <w:rPr>
                <w:rFonts w:ascii="Arial" w:eastAsia="Arial" w:hAnsi="Arial" w:cs="Arial"/>
                <w:b/>
                <w:color w:val="000000"/>
                <w:sz w:val="16"/>
                <w:szCs w:val="16"/>
              </w:rPr>
              <w:t>PAN:</w:t>
            </w:r>
          </w:p>
          <w:p w14:paraId="6222AD10" w14:textId="77777777" w:rsidR="00DE7B67" w:rsidRDefault="00044E47">
            <w:pPr>
              <w:spacing w:line="276" w:lineRule="auto"/>
              <w:jc w:val="both"/>
              <w:rPr>
                <w:rFonts w:ascii="Arial" w:eastAsia="Arial" w:hAnsi="Arial" w:cs="Arial"/>
                <w:b/>
                <w:color w:val="000000"/>
                <w:sz w:val="16"/>
                <w:szCs w:val="16"/>
              </w:rPr>
            </w:pPr>
            <w:r>
              <w:rPr>
                <w:rFonts w:ascii="Arial" w:eastAsia="Arial" w:hAnsi="Arial" w:cs="Arial"/>
                <w:b/>
                <w:color w:val="000000"/>
                <w:sz w:val="16"/>
                <w:szCs w:val="16"/>
              </w:rPr>
              <w:t>PEL:</w:t>
            </w:r>
          </w:p>
          <w:p w14:paraId="67562E4E" w14:textId="77777777" w:rsidR="00DE7B67" w:rsidRDefault="00044E47">
            <w:pPr>
              <w:spacing w:line="276" w:lineRule="auto"/>
              <w:jc w:val="both"/>
              <w:rPr>
                <w:rFonts w:ascii="Arial" w:eastAsia="Arial" w:hAnsi="Arial" w:cs="Arial"/>
                <w:b/>
                <w:color w:val="000000"/>
                <w:sz w:val="16"/>
                <w:szCs w:val="16"/>
              </w:rPr>
            </w:pPr>
            <w:r>
              <w:rPr>
                <w:rFonts w:ascii="Arial" w:eastAsia="Arial" w:hAnsi="Arial" w:cs="Arial"/>
                <w:b/>
                <w:color w:val="000000"/>
                <w:sz w:val="16"/>
                <w:szCs w:val="16"/>
              </w:rPr>
              <w:t>PES:</w:t>
            </w:r>
          </w:p>
          <w:p w14:paraId="703B4AF6" w14:textId="77777777" w:rsidR="00DE7B67" w:rsidRDefault="00044E47">
            <w:pPr>
              <w:spacing w:line="276" w:lineRule="auto"/>
              <w:jc w:val="both"/>
              <w:rPr>
                <w:rFonts w:ascii="Arial" w:eastAsia="Arial" w:hAnsi="Arial" w:cs="Arial"/>
                <w:b/>
                <w:color w:val="000000"/>
                <w:sz w:val="16"/>
                <w:szCs w:val="16"/>
              </w:rPr>
            </w:pPr>
            <w:r>
              <w:rPr>
                <w:rFonts w:ascii="Arial" w:eastAsia="Arial" w:hAnsi="Arial" w:cs="Arial"/>
                <w:b/>
                <w:color w:val="000000"/>
                <w:sz w:val="16"/>
                <w:szCs w:val="16"/>
              </w:rPr>
              <w:t>PRD:</w:t>
            </w:r>
          </w:p>
          <w:p w14:paraId="2DB7BD66" w14:textId="77777777" w:rsidR="00DE7B67" w:rsidRDefault="00044E47">
            <w:pPr>
              <w:spacing w:line="276" w:lineRule="auto"/>
              <w:jc w:val="both"/>
              <w:rPr>
                <w:rFonts w:ascii="Arial" w:eastAsia="Arial" w:hAnsi="Arial" w:cs="Arial"/>
                <w:b/>
                <w:color w:val="000000"/>
                <w:sz w:val="16"/>
                <w:szCs w:val="16"/>
              </w:rPr>
            </w:pPr>
            <w:r>
              <w:rPr>
                <w:rFonts w:ascii="Arial" w:eastAsia="Arial" w:hAnsi="Arial" w:cs="Arial"/>
                <w:b/>
                <w:color w:val="000000"/>
                <w:sz w:val="16"/>
                <w:szCs w:val="16"/>
              </w:rPr>
              <w:t>PRI:</w:t>
            </w:r>
          </w:p>
          <w:p w14:paraId="7CE9B99C" w14:textId="77777777" w:rsidR="00DE7B67" w:rsidRDefault="00044E47">
            <w:pPr>
              <w:spacing w:line="276" w:lineRule="auto"/>
              <w:jc w:val="both"/>
              <w:rPr>
                <w:rFonts w:ascii="Arial" w:eastAsia="Arial" w:hAnsi="Arial" w:cs="Arial"/>
                <w:b/>
                <w:color w:val="000000"/>
                <w:sz w:val="16"/>
                <w:szCs w:val="16"/>
              </w:rPr>
            </w:pPr>
            <w:r>
              <w:rPr>
                <w:rFonts w:ascii="Arial" w:eastAsia="Arial" w:hAnsi="Arial" w:cs="Arial"/>
                <w:b/>
                <w:color w:val="000000"/>
                <w:sz w:val="16"/>
                <w:szCs w:val="16"/>
              </w:rPr>
              <w:t>PVEM:</w:t>
            </w:r>
          </w:p>
          <w:p w14:paraId="2D82816C" w14:textId="77777777" w:rsidR="00DE7B67" w:rsidRDefault="00044E47">
            <w:pPr>
              <w:spacing w:line="276" w:lineRule="auto"/>
              <w:jc w:val="both"/>
              <w:rPr>
                <w:rFonts w:ascii="Arial" w:eastAsia="Arial" w:hAnsi="Arial" w:cs="Arial"/>
                <w:b/>
                <w:color w:val="000000"/>
                <w:sz w:val="16"/>
                <w:szCs w:val="16"/>
              </w:rPr>
            </w:pPr>
            <w:r>
              <w:rPr>
                <w:rFonts w:ascii="Arial" w:eastAsia="Arial" w:hAnsi="Arial" w:cs="Arial"/>
                <w:b/>
                <w:color w:val="000000"/>
                <w:sz w:val="16"/>
                <w:szCs w:val="16"/>
              </w:rPr>
              <w:t>Tribunal Electoral:</w:t>
            </w:r>
          </w:p>
          <w:p w14:paraId="02ABC782" w14:textId="77777777" w:rsidR="00DE7B67" w:rsidRDefault="00044E47">
            <w:pPr>
              <w:spacing w:line="276" w:lineRule="auto"/>
              <w:jc w:val="both"/>
              <w:rPr>
                <w:rFonts w:ascii="Arial" w:eastAsia="Arial" w:hAnsi="Arial" w:cs="Arial"/>
                <w:b/>
                <w:color w:val="000000"/>
                <w:sz w:val="16"/>
                <w:szCs w:val="16"/>
              </w:rPr>
            </w:pPr>
            <w:r>
              <w:rPr>
                <w:rFonts w:ascii="Arial" w:eastAsia="Arial" w:hAnsi="Arial" w:cs="Arial"/>
                <w:b/>
                <w:color w:val="000000"/>
                <w:sz w:val="16"/>
                <w:szCs w:val="16"/>
              </w:rPr>
              <w:t>SCJN:</w:t>
            </w:r>
          </w:p>
        </w:tc>
        <w:tc>
          <w:tcPr>
            <w:tcW w:w="5528" w:type="dxa"/>
            <w:shd w:val="clear" w:color="auto" w:fill="auto"/>
          </w:tcPr>
          <w:p w14:paraId="13116D58" w14:textId="77777777" w:rsidR="00DE7B67" w:rsidRDefault="00044E47">
            <w:pPr>
              <w:spacing w:line="276" w:lineRule="auto"/>
              <w:ind w:right="-110"/>
              <w:jc w:val="both"/>
              <w:rPr>
                <w:rFonts w:ascii="Arial" w:eastAsia="Arial" w:hAnsi="Arial" w:cs="Arial"/>
                <w:color w:val="000000"/>
                <w:sz w:val="16"/>
                <w:szCs w:val="16"/>
              </w:rPr>
            </w:pPr>
            <w:r>
              <w:rPr>
                <w:rFonts w:ascii="Arial" w:eastAsia="Arial" w:hAnsi="Arial" w:cs="Arial"/>
                <w:color w:val="000000"/>
                <w:sz w:val="16"/>
                <w:szCs w:val="16"/>
              </w:rPr>
              <w:t>Partido Verde Ecologista de México y Movimiento de Regeneración Nacional.</w:t>
            </w:r>
          </w:p>
          <w:p w14:paraId="1E9C7568" w14:textId="77777777" w:rsidR="00DE7B67" w:rsidRDefault="00044E47">
            <w:pPr>
              <w:spacing w:line="276" w:lineRule="auto"/>
              <w:jc w:val="both"/>
              <w:rPr>
                <w:rFonts w:ascii="Arial" w:eastAsia="Arial" w:hAnsi="Arial" w:cs="Arial"/>
                <w:color w:val="000000"/>
                <w:sz w:val="16"/>
                <w:szCs w:val="16"/>
              </w:rPr>
            </w:pPr>
            <w:r>
              <w:rPr>
                <w:rFonts w:ascii="Arial" w:eastAsia="Arial" w:hAnsi="Arial" w:cs="Arial"/>
                <w:color w:val="000000"/>
                <w:sz w:val="16"/>
                <w:szCs w:val="16"/>
              </w:rPr>
              <w:t xml:space="preserve">María Teresa Jiménez Esquivel, entonces candidata a la gubernatura del estado por la coalición “Va por Aguascalientes”, así como a los institutos políticos PAN, PRI y PRD. </w:t>
            </w:r>
          </w:p>
          <w:p w14:paraId="7350D63E" w14:textId="77777777" w:rsidR="00DE7B67" w:rsidRDefault="00044E47">
            <w:pPr>
              <w:spacing w:line="276" w:lineRule="auto"/>
              <w:ind w:right="-257"/>
              <w:jc w:val="both"/>
              <w:rPr>
                <w:rFonts w:ascii="Arial" w:eastAsia="Arial" w:hAnsi="Arial" w:cs="Arial"/>
                <w:color w:val="000000"/>
                <w:sz w:val="16"/>
                <w:szCs w:val="16"/>
              </w:rPr>
            </w:pPr>
            <w:r>
              <w:rPr>
                <w:rFonts w:ascii="Arial" w:eastAsia="Arial" w:hAnsi="Arial" w:cs="Arial"/>
                <w:color w:val="000000"/>
                <w:sz w:val="16"/>
                <w:szCs w:val="16"/>
              </w:rPr>
              <w:t>Código Electoral del Estado de Aguascalientes.</w:t>
            </w:r>
          </w:p>
          <w:p w14:paraId="7F3802F4" w14:textId="77777777" w:rsidR="00DE7B67" w:rsidRDefault="00044E47">
            <w:pPr>
              <w:spacing w:line="276" w:lineRule="auto"/>
              <w:ind w:right="-257"/>
              <w:jc w:val="both"/>
              <w:rPr>
                <w:rFonts w:ascii="Arial" w:eastAsia="Arial" w:hAnsi="Arial" w:cs="Arial"/>
                <w:color w:val="000000"/>
                <w:sz w:val="16"/>
                <w:szCs w:val="16"/>
              </w:rPr>
            </w:pPr>
            <w:r>
              <w:rPr>
                <w:rFonts w:ascii="Arial" w:eastAsia="Arial" w:hAnsi="Arial" w:cs="Arial"/>
                <w:color w:val="000000"/>
                <w:sz w:val="16"/>
                <w:szCs w:val="16"/>
              </w:rPr>
              <w:t>Consejo General del Instituto Estatal Electoral de Aguascalientes.</w:t>
            </w:r>
          </w:p>
          <w:p w14:paraId="22D6435A" w14:textId="77777777" w:rsidR="00DE7B67" w:rsidRDefault="00044E47">
            <w:pPr>
              <w:spacing w:line="276" w:lineRule="auto"/>
              <w:ind w:right="-257"/>
              <w:jc w:val="both"/>
              <w:rPr>
                <w:rFonts w:ascii="Arial" w:eastAsia="Arial" w:hAnsi="Arial" w:cs="Arial"/>
                <w:color w:val="000000"/>
                <w:sz w:val="16"/>
                <w:szCs w:val="16"/>
              </w:rPr>
            </w:pPr>
            <w:r>
              <w:rPr>
                <w:rFonts w:ascii="Arial" w:eastAsia="Arial" w:hAnsi="Arial" w:cs="Arial"/>
                <w:color w:val="000000"/>
                <w:sz w:val="16"/>
                <w:szCs w:val="16"/>
              </w:rPr>
              <w:t>Instituto Estatal Electoral de Aguascalientes.</w:t>
            </w:r>
          </w:p>
          <w:p w14:paraId="10E29F27" w14:textId="77777777" w:rsidR="00DE7B67" w:rsidRDefault="00044E47">
            <w:pPr>
              <w:spacing w:line="276" w:lineRule="auto"/>
              <w:ind w:right="-257"/>
              <w:jc w:val="both"/>
              <w:rPr>
                <w:rFonts w:ascii="Arial" w:eastAsia="Arial" w:hAnsi="Arial" w:cs="Arial"/>
                <w:color w:val="000000"/>
                <w:sz w:val="16"/>
                <w:szCs w:val="16"/>
              </w:rPr>
            </w:pPr>
            <w:r>
              <w:rPr>
                <w:rFonts w:ascii="Arial" w:eastAsia="Arial" w:hAnsi="Arial" w:cs="Arial"/>
                <w:color w:val="000000"/>
                <w:sz w:val="16"/>
                <w:szCs w:val="16"/>
              </w:rPr>
              <w:t>Ley General de Instituciones y Procedimientos Electorales.</w:t>
            </w:r>
          </w:p>
          <w:p w14:paraId="61004B45" w14:textId="77777777" w:rsidR="00DE7B67" w:rsidRDefault="00044E47">
            <w:pPr>
              <w:spacing w:line="276" w:lineRule="auto"/>
              <w:ind w:right="-257"/>
              <w:jc w:val="both"/>
              <w:rPr>
                <w:rFonts w:ascii="Arial" w:eastAsia="Arial" w:hAnsi="Arial" w:cs="Arial"/>
                <w:color w:val="000000"/>
                <w:sz w:val="16"/>
                <w:szCs w:val="16"/>
              </w:rPr>
            </w:pPr>
            <w:r>
              <w:rPr>
                <w:rFonts w:ascii="Arial" w:eastAsia="Arial" w:hAnsi="Arial" w:cs="Arial"/>
                <w:color w:val="000000"/>
                <w:sz w:val="16"/>
                <w:szCs w:val="16"/>
              </w:rPr>
              <w:t xml:space="preserve">Movimiento de Regeneración Nacional. </w:t>
            </w:r>
          </w:p>
          <w:p w14:paraId="6354876E" w14:textId="77777777" w:rsidR="00DE7B67" w:rsidRDefault="00044E47">
            <w:pPr>
              <w:spacing w:line="276" w:lineRule="auto"/>
              <w:ind w:right="-257"/>
              <w:jc w:val="both"/>
              <w:rPr>
                <w:rFonts w:ascii="Arial" w:eastAsia="Arial" w:hAnsi="Arial" w:cs="Arial"/>
                <w:color w:val="000000"/>
                <w:sz w:val="16"/>
                <w:szCs w:val="16"/>
              </w:rPr>
            </w:pPr>
            <w:r>
              <w:rPr>
                <w:rFonts w:ascii="Arial" w:eastAsia="Arial" w:hAnsi="Arial" w:cs="Arial"/>
                <w:color w:val="000000"/>
                <w:sz w:val="16"/>
                <w:szCs w:val="16"/>
              </w:rPr>
              <w:t xml:space="preserve">Sala Superior del Tribunal Electoral del Poder Judicial de la Federación. </w:t>
            </w:r>
          </w:p>
          <w:p w14:paraId="3CDC8058" w14:textId="77777777" w:rsidR="00DE7B67" w:rsidRDefault="00044E47">
            <w:pPr>
              <w:spacing w:line="276" w:lineRule="auto"/>
              <w:ind w:right="-257"/>
              <w:jc w:val="both"/>
              <w:rPr>
                <w:rFonts w:ascii="Arial" w:eastAsia="Arial" w:hAnsi="Arial" w:cs="Arial"/>
                <w:color w:val="000000"/>
                <w:sz w:val="16"/>
                <w:szCs w:val="16"/>
              </w:rPr>
            </w:pPr>
            <w:r>
              <w:rPr>
                <w:rFonts w:ascii="Arial" w:eastAsia="Arial" w:hAnsi="Arial" w:cs="Arial"/>
                <w:color w:val="000000"/>
                <w:sz w:val="16"/>
                <w:szCs w:val="16"/>
              </w:rPr>
              <w:t xml:space="preserve">Secretario Ejecutivo del Instituto Estatal Electoral de Aguascalientes. </w:t>
            </w:r>
          </w:p>
          <w:p w14:paraId="723493B2" w14:textId="77777777" w:rsidR="00DE7B67" w:rsidRDefault="00044E47">
            <w:pPr>
              <w:spacing w:line="276" w:lineRule="auto"/>
              <w:ind w:right="-257"/>
              <w:jc w:val="both"/>
              <w:rPr>
                <w:rFonts w:ascii="Arial" w:eastAsia="Arial" w:hAnsi="Arial" w:cs="Arial"/>
                <w:color w:val="000000"/>
                <w:sz w:val="16"/>
                <w:szCs w:val="16"/>
              </w:rPr>
            </w:pPr>
            <w:r>
              <w:rPr>
                <w:rFonts w:ascii="Arial" w:eastAsia="Arial" w:hAnsi="Arial" w:cs="Arial"/>
                <w:color w:val="000000"/>
                <w:sz w:val="16"/>
                <w:szCs w:val="16"/>
              </w:rPr>
              <w:t>Partido Acción Nacional.</w:t>
            </w:r>
          </w:p>
          <w:p w14:paraId="66130ACC" w14:textId="77777777" w:rsidR="00DE7B67" w:rsidRDefault="00044E47">
            <w:pPr>
              <w:spacing w:line="276" w:lineRule="auto"/>
              <w:ind w:right="-257"/>
              <w:jc w:val="both"/>
              <w:rPr>
                <w:rFonts w:ascii="Arial" w:eastAsia="Arial" w:hAnsi="Arial" w:cs="Arial"/>
                <w:color w:val="000000"/>
                <w:sz w:val="16"/>
                <w:szCs w:val="16"/>
              </w:rPr>
            </w:pPr>
            <w:r>
              <w:rPr>
                <w:rFonts w:ascii="Arial" w:eastAsia="Arial" w:hAnsi="Arial" w:cs="Arial"/>
                <w:color w:val="000000"/>
                <w:sz w:val="16"/>
                <w:szCs w:val="16"/>
              </w:rPr>
              <w:t xml:space="preserve">Procedimiento Electoral Local. </w:t>
            </w:r>
          </w:p>
          <w:p w14:paraId="03922D1F" w14:textId="77777777" w:rsidR="00DE7B67" w:rsidRDefault="00044E47">
            <w:pPr>
              <w:spacing w:line="276" w:lineRule="auto"/>
              <w:ind w:right="-257"/>
              <w:jc w:val="both"/>
              <w:rPr>
                <w:rFonts w:ascii="Arial" w:eastAsia="Arial" w:hAnsi="Arial" w:cs="Arial"/>
                <w:color w:val="000000"/>
                <w:sz w:val="16"/>
                <w:szCs w:val="16"/>
              </w:rPr>
            </w:pPr>
            <w:r>
              <w:rPr>
                <w:rFonts w:ascii="Arial" w:eastAsia="Arial" w:hAnsi="Arial" w:cs="Arial"/>
                <w:color w:val="000000"/>
                <w:sz w:val="16"/>
                <w:szCs w:val="16"/>
              </w:rPr>
              <w:t>Procedimiento Especial Sancionador.</w:t>
            </w:r>
          </w:p>
          <w:p w14:paraId="19D9BF27" w14:textId="77777777" w:rsidR="00DE7B67" w:rsidRDefault="00044E47">
            <w:pPr>
              <w:spacing w:line="276" w:lineRule="auto"/>
              <w:ind w:right="-257"/>
              <w:jc w:val="both"/>
              <w:rPr>
                <w:rFonts w:ascii="Arial" w:eastAsia="Arial" w:hAnsi="Arial" w:cs="Arial"/>
                <w:color w:val="000000"/>
                <w:sz w:val="16"/>
                <w:szCs w:val="16"/>
              </w:rPr>
            </w:pPr>
            <w:r>
              <w:rPr>
                <w:rFonts w:ascii="Arial" w:eastAsia="Arial" w:hAnsi="Arial" w:cs="Arial"/>
                <w:color w:val="000000"/>
                <w:sz w:val="16"/>
                <w:szCs w:val="16"/>
              </w:rPr>
              <w:t xml:space="preserve">Partido de la Revolución Democrática. </w:t>
            </w:r>
          </w:p>
          <w:p w14:paraId="5186FA2F" w14:textId="77777777" w:rsidR="00DE7B67" w:rsidRDefault="00044E47">
            <w:pPr>
              <w:spacing w:line="276" w:lineRule="auto"/>
              <w:ind w:right="-257"/>
              <w:jc w:val="both"/>
              <w:rPr>
                <w:rFonts w:ascii="Arial" w:eastAsia="Arial" w:hAnsi="Arial" w:cs="Arial"/>
                <w:color w:val="000000"/>
                <w:sz w:val="16"/>
                <w:szCs w:val="16"/>
              </w:rPr>
            </w:pPr>
            <w:r>
              <w:rPr>
                <w:rFonts w:ascii="Arial" w:eastAsia="Arial" w:hAnsi="Arial" w:cs="Arial"/>
                <w:color w:val="000000"/>
                <w:sz w:val="16"/>
                <w:szCs w:val="16"/>
              </w:rPr>
              <w:t xml:space="preserve">Partido Revolucionario Institucional. </w:t>
            </w:r>
          </w:p>
          <w:p w14:paraId="4238ADB2" w14:textId="77777777" w:rsidR="00DE7B67" w:rsidRDefault="00044E47">
            <w:pPr>
              <w:spacing w:line="276" w:lineRule="auto"/>
              <w:ind w:right="-257"/>
              <w:jc w:val="both"/>
              <w:rPr>
                <w:rFonts w:ascii="Arial" w:eastAsia="Arial" w:hAnsi="Arial" w:cs="Arial"/>
                <w:color w:val="000000"/>
                <w:sz w:val="16"/>
                <w:szCs w:val="16"/>
              </w:rPr>
            </w:pPr>
            <w:r>
              <w:rPr>
                <w:rFonts w:ascii="Arial" w:eastAsia="Arial" w:hAnsi="Arial" w:cs="Arial"/>
                <w:color w:val="000000"/>
                <w:sz w:val="16"/>
                <w:szCs w:val="16"/>
              </w:rPr>
              <w:t xml:space="preserve">Partido Verde Ecologista de México. </w:t>
            </w:r>
          </w:p>
          <w:p w14:paraId="136C7097" w14:textId="77777777" w:rsidR="00DE7B67" w:rsidRDefault="00044E47">
            <w:pPr>
              <w:spacing w:line="276" w:lineRule="auto"/>
              <w:ind w:right="-257"/>
              <w:jc w:val="both"/>
              <w:rPr>
                <w:rFonts w:ascii="Arial" w:eastAsia="Arial" w:hAnsi="Arial" w:cs="Arial"/>
                <w:color w:val="000000"/>
                <w:sz w:val="16"/>
                <w:szCs w:val="16"/>
              </w:rPr>
            </w:pPr>
            <w:r>
              <w:rPr>
                <w:rFonts w:ascii="Arial" w:eastAsia="Arial" w:hAnsi="Arial" w:cs="Arial"/>
                <w:color w:val="000000"/>
                <w:sz w:val="16"/>
                <w:szCs w:val="16"/>
              </w:rPr>
              <w:t>Tribunal Electoral del Estado de Aguascalientes.</w:t>
            </w:r>
          </w:p>
          <w:p w14:paraId="42280C0D" w14:textId="77777777" w:rsidR="00DE7B67" w:rsidRDefault="00044E47">
            <w:pPr>
              <w:spacing w:line="276" w:lineRule="auto"/>
              <w:ind w:right="-257"/>
              <w:jc w:val="both"/>
              <w:rPr>
                <w:rFonts w:ascii="Arial" w:eastAsia="Arial" w:hAnsi="Arial" w:cs="Arial"/>
                <w:color w:val="000000"/>
                <w:sz w:val="16"/>
                <w:szCs w:val="16"/>
              </w:rPr>
            </w:pPr>
            <w:r>
              <w:rPr>
                <w:rFonts w:ascii="Arial" w:eastAsia="Arial" w:hAnsi="Arial" w:cs="Arial"/>
                <w:color w:val="000000"/>
                <w:sz w:val="16"/>
                <w:szCs w:val="16"/>
              </w:rPr>
              <w:t>Suprema Corte de Justicia de la Nación.</w:t>
            </w:r>
          </w:p>
        </w:tc>
      </w:tr>
    </w:tbl>
    <w:p w14:paraId="15324F5A" w14:textId="77777777" w:rsidR="00DE7B67" w:rsidRDefault="00DE7B67">
      <w:pPr>
        <w:pBdr>
          <w:top w:val="nil"/>
          <w:left w:val="nil"/>
          <w:bottom w:val="nil"/>
          <w:right w:val="nil"/>
          <w:between w:val="nil"/>
        </w:pBdr>
        <w:tabs>
          <w:tab w:val="left" w:pos="284"/>
        </w:tabs>
        <w:spacing w:line="360" w:lineRule="auto"/>
        <w:ind w:right="36"/>
        <w:jc w:val="both"/>
        <w:rPr>
          <w:rFonts w:ascii="Arial" w:eastAsia="Arial" w:hAnsi="Arial" w:cs="Arial"/>
          <w:b/>
          <w:sz w:val="24"/>
          <w:szCs w:val="24"/>
        </w:rPr>
      </w:pPr>
    </w:p>
    <w:p w14:paraId="1494B21A" w14:textId="2E28663C" w:rsidR="00DE7B67" w:rsidRDefault="00044E47" w:rsidP="00E818C0">
      <w:pPr>
        <w:rPr>
          <w:rFonts w:ascii="Arial" w:eastAsia="Arial" w:hAnsi="Arial" w:cs="Arial"/>
          <w:b/>
          <w:sz w:val="24"/>
          <w:szCs w:val="24"/>
        </w:rPr>
      </w:pPr>
      <w:r>
        <w:rPr>
          <w:rFonts w:ascii="Arial" w:eastAsia="Arial" w:hAnsi="Arial" w:cs="Arial"/>
          <w:b/>
          <w:sz w:val="24"/>
          <w:szCs w:val="24"/>
        </w:rPr>
        <w:t>I. Contexto del caso.</w:t>
      </w:r>
      <w:r>
        <w:rPr>
          <w:rFonts w:ascii="Arial" w:eastAsia="Arial" w:hAnsi="Arial" w:cs="Arial"/>
          <w:b/>
          <w:sz w:val="24"/>
          <w:szCs w:val="24"/>
          <w:vertAlign w:val="superscript"/>
        </w:rPr>
        <w:footnoteReference w:id="2"/>
      </w:r>
    </w:p>
    <w:p w14:paraId="27814F10" w14:textId="77777777" w:rsidR="00DE7B67" w:rsidRDefault="00DE7B67">
      <w:pPr>
        <w:pBdr>
          <w:top w:val="nil"/>
          <w:left w:val="nil"/>
          <w:bottom w:val="nil"/>
          <w:right w:val="nil"/>
          <w:between w:val="nil"/>
        </w:pBdr>
        <w:rPr>
          <w:color w:val="000000"/>
        </w:rPr>
      </w:pPr>
    </w:p>
    <w:p w14:paraId="26C2D475" w14:textId="77777777" w:rsidR="00DE7B67" w:rsidRDefault="00044E47">
      <w:pPr>
        <w:tabs>
          <w:tab w:val="left" w:pos="284"/>
        </w:tabs>
        <w:spacing w:line="360" w:lineRule="auto"/>
        <w:jc w:val="both"/>
        <w:rPr>
          <w:rFonts w:ascii="Arial" w:eastAsia="Arial" w:hAnsi="Arial" w:cs="Arial"/>
          <w:sz w:val="24"/>
          <w:szCs w:val="24"/>
        </w:rPr>
      </w:pPr>
      <w:r>
        <w:rPr>
          <w:rFonts w:ascii="Arial" w:eastAsia="Arial" w:hAnsi="Arial" w:cs="Arial"/>
          <w:b/>
          <w:sz w:val="24"/>
          <w:szCs w:val="24"/>
        </w:rPr>
        <w:t>1. PEL (2021-2022).</w:t>
      </w:r>
      <w:r>
        <w:rPr>
          <w:rFonts w:ascii="Arial" w:eastAsia="Arial" w:hAnsi="Arial" w:cs="Arial"/>
          <w:sz w:val="24"/>
          <w:szCs w:val="24"/>
        </w:rPr>
        <w:t xml:space="preserve"> El 7 de octubre de 2021, inició el proceso electoral local para renovar la gubernatura del estado de Aguascalientes.</w:t>
      </w:r>
      <w:r>
        <w:rPr>
          <w:rFonts w:ascii="Arial" w:eastAsia="Arial" w:hAnsi="Arial" w:cs="Arial"/>
          <w:sz w:val="24"/>
          <w:szCs w:val="24"/>
          <w:vertAlign w:val="superscript"/>
        </w:rPr>
        <w:footnoteReference w:id="3"/>
      </w:r>
    </w:p>
    <w:p w14:paraId="1B5D5676" w14:textId="77777777" w:rsidR="00DE7B67" w:rsidRDefault="00044E47">
      <w:pPr>
        <w:tabs>
          <w:tab w:val="left" w:pos="284"/>
        </w:tabs>
        <w:spacing w:before="240" w:after="240" w:line="360" w:lineRule="auto"/>
        <w:ind w:right="40"/>
        <w:jc w:val="both"/>
        <w:rPr>
          <w:rFonts w:ascii="Arial" w:eastAsia="Arial" w:hAnsi="Arial" w:cs="Arial"/>
          <w:sz w:val="24"/>
          <w:szCs w:val="24"/>
        </w:rPr>
      </w:pPr>
      <w:r>
        <w:rPr>
          <w:rFonts w:ascii="Arial" w:eastAsia="Arial" w:hAnsi="Arial" w:cs="Arial"/>
          <w:b/>
          <w:sz w:val="24"/>
          <w:szCs w:val="24"/>
        </w:rPr>
        <w:t>2. Denuncia (PVEM).</w:t>
      </w:r>
      <w:r>
        <w:rPr>
          <w:rFonts w:ascii="Arial" w:eastAsia="Arial" w:hAnsi="Arial" w:cs="Arial"/>
          <w:sz w:val="24"/>
          <w:szCs w:val="24"/>
        </w:rPr>
        <w:t xml:space="preserve"> El 2 de junio, la ciudadana Coral Almanza Moreno, quien funge como representante propietaria del PVEM ante el Consejo General, presentó una queja en contra de María Teresa Jiménez Esquivel, entonces candidata de la coalición “Va por Aguascalientes” a la gubernatura del estado, derivado de su inasistencia al segundo debate obligatorio organizado por el Instituto Local, lo cual, a su criterio, constituye una infracción a la normativa electoral local. </w:t>
      </w:r>
    </w:p>
    <w:p w14:paraId="66CAAB0E" w14:textId="77777777" w:rsidR="00DE7B67" w:rsidRDefault="00044E47">
      <w:pPr>
        <w:tabs>
          <w:tab w:val="left" w:pos="284"/>
        </w:tabs>
        <w:spacing w:before="240" w:after="240" w:line="360" w:lineRule="auto"/>
        <w:ind w:right="40"/>
        <w:jc w:val="both"/>
        <w:rPr>
          <w:rFonts w:ascii="Arial" w:eastAsia="Arial" w:hAnsi="Arial" w:cs="Arial"/>
          <w:sz w:val="24"/>
          <w:szCs w:val="24"/>
        </w:rPr>
      </w:pPr>
      <w:r>
        <w:rPr>
          <w:rFonts w:ascii="Arial" w:eastAsia="Arial" w:hAnsi="Arial" w:cs="Arial"/>
          <w:b/>
          <w:sz w:val="24"/>
          <w:szCs w:val="24"/>
        </w:rPr>
        <w:t xml:space="preserve">3. Radicación (IEE/PES/083/2022). </w:t>
      </w:r>
      <w:r>
        <w:rPr>
          <w:rFonts w:ascii="Arial" w:eastAsia="Arial" w:hAnsi="Arial" w:cs="Arial"/>
          <w:sz w:val="24"/>
          <w:szCs w:val="24"/>
        </w:rPr>
        <w:t xml:space="preserve">Al día siguiente, el </w:t>
      </w:r>
      <w:proofErr w:type="gramStart"/>
      <w:r>
        <w:rPr>
          <w:rFonts w:ascii="Arial" w:eastAsia="Arial" w:hAnsi="Arial" w:cs="Arial"/>
          <w:sz w:val="24"/>
          <w:szCs w:val="24"/>
        </w:rPr>
        <w:t>Secretario Ejecutivo</w:t>
      </w:r>
      <w:proofErr w:type="gramEnd"/>
      <w:r>
        <w:rPr>
          <w:rFonts w:ascii="Arial" w:eastAsia="Arial" w:hAnsi="Arial" w:cs="Arial"/>
          <w:sz w:val="24"/>
          <w:szCs w:val="24"/>
        </w:rPr>
        <w:t xml:space="preserve"> radicó la denuncia y le asignó el número de expediente IEE/PES/083/2022. </w:t>
      </w:r>
    </w:p>
    <w:p w14:paraId="08112F27" w14:textId="77777777" w:rsidR="00DE7B67" w:rsidRDefault="00044E47">
      <w:pPr>
        <w:tabs>
          <w:tab w:val="left" w:pos="284"/>
        </w:tabs>
        <w:spacing w:before="240" w:after="240" w:line="360" w:lineRule="auto"/>
        <w:ind w:right="40"/>
        <w:jc w:val="both"/>
        <w:rPr>
          <w:rFonts w:ascii="Arial" w:eastAsia="Arial" w:hAnsi="Arial" w:cs="Arial"/>
          <w:sz w:val="24"/>
          <w:szCs w:val="24"/>
        </w:rPr>
      </w:pPr>
      <w:r>
        <w:rPr>
          <w:rFonts w:ascii="Arial" w:eastAsia="Arial" w:hAnsi="Arial" w:cs="Arial"/>
          <w:b/>
          <w:sz w:val="24"/>
          <w:szCs w:val="24"/>
        </w:rPr>
        <w:t>4. Denuncia (Morena)</w:t>
      </w:r>
      <w:r>
        <w:rPr>
          <w:rFonts w:ascii="Arial" w:eastAsia="Arial" w:hAnsi="Arial" w:cs="Arial"/>
          <w:sz w:val="24"/>
          <w:szCs w:val="24"/>
        </w:rPr>
        <w:t xml:space="preserve">. El 4 de junio, el ciudadano Jesús Ricardo Barba Parra, en su carácter de representante propietario de Morena ante el Consejo General, presentó una queja en contra de la misma candidata, por la infracción hecha valer por el PVEM en el diverso IEE/PES/083/2022. Asimismo, denunció a los partidos políticos que forman parte de la coalición “Va por Aguascalientes” -PAN, PRI y PRD- por culpa </w:t>
      </w:r>
      <w:r>
        <w:rPr>
          <w:rFonts w:ascii="Arial" w:eastAsia="Arial" w:hAnsi="Arial" w:cs="Arial"/>
          <w:i/>
          <w:sz w:val="24"/>
          <w:szCs w:val="24"/>
        </w:rPr>
        <w:t>in vigilando</w:t>
      </w:r>
      <w:r>
        <w:rPr>
          <w:rFonts w:ascii="Arial" w:eastAsia="Arial" w:hAnsi="Arial" w:cs="Arial"/>
          <w:sz w:val="24"/>
          <w:szCs w:val="24"/>
        </w:rPr>
        <w:t xml:space="preserve">. </w:t>
      </w:r>
    </w:p>
    <w:p w14:paraId="164A9056" w14:textId="77777777" w:rsidR="00DE7B67" w:rsidRDefault="00044E47">
      <w:pPr>
        <w:tabs>
          <w:tab w:val="left" w:pos="284"/>
        </w:tabs>
        <w:spacing w:before="240" w:after="240" w:line="360" w:lineRule="auto"/>
        <w:ind w:right="40"/>
        <w:jc w:val="both"/>
        <w:rPr>
          <w:rFonts w:ascii="Arial" w:eastAsia="Arial" w:hAnsi="Arial" w:cs="Arial"/>
          <w:sz w:val="24"/>
          <w:szCs w:val="24"/>
        </w:rPr>
      </w:pPr>
      <w:r>
        <w:rPr>
          <w:rFonts w:ascii="Arial" w:eastAsia="Arial" w:hAnsi="Arial" w:cs="Arial"/>
          <w:b/>
          <w:sz w:val="24"/>
          <w:szCs w:val="24"/>
        </w:rPr>
        <w:t xml:space="preserve">5. Radicación (IEE/PES/095/2022) y acumulación. </w:t>
      </w:r>
      <w:r>
        <w:rPr>
          <w:rFonts w:ascii="Arial" w:eastAsia="Arial" w:hAnsi="Arial" w:cs="Arial"/>
          <w:sz w:val="24"/>
          <w:szCs w:val="24"/>
        </w:rPr>
        <w:t xml:space="preserve">El 5 siguiente, el </w:t>
      </w:r>
      <w:proofErr w:type="gramStart"/>
      <w:r>
        <w:rPr>
          <w:rFonts w:ascii="Arial" w:eastAsia="Arial" w:hAnsi="Arial" w:cs="Arial"/>
          <w:sz w:val="24"/>
          <w:szCs w:val="24"/>
        </w:rPr>
        <w:t>Secretario Ejecutivo</w:t>
      </w:r>
      <w:proofErr w:type="gramEnd"/>
      <w:r>
        <w:rPr>
          <w:rFonts w:ascii="Arial" w:eastAsia="Arial" w:hAnsi="Arial" w:cs="Arial"/>
          <w:sz w:val="24"/>
          <w:szCs w:val="24"/>
        </w:rPr>
        <w:t xml:space="preserve"> radicó la denuncia referida en el punto anterior, y le asignó el número de expediente IEE/PES/095/2022. A su vez, determinó la </w:t>
      </w:r>
      <w:r>
        <w:rPr>
          <w:rFonts w:ascii="Arial" w:eastAsia="Arial" w:hAnsi="Arial" w:cs="Arial"/>
          <w:b/>
          <w:sz w:val="24"/>
          <w:szCs w:val="24"/>
        </w:rPr>
        <w:t>acumulación</w:t>
      </w:r>
      <w:r>
        <w:rPr>
          <w:rFonts w:ascii="Arial" w:eastAsia="Arial" w:hAnsi="Arial" w:cs="Arial"/>
          <w:sz w:val="24"/>
          <w:szCs w:val="24"/>
        </w:rPr>
        <w:t xml:space="preserve"> de ambas quejas, pues se aduce </w:t>
      </w:r>
      <w:r>
        <w:rPr>
          <w:rFonts w:ascii="Arial" w:eastAsia="Arial" w:hAnsi="Arial" w:cs="Arial"/>
          <w:sz w:val="24"/>
          <w:szCs w:val="24"/>
        </w:rPr>
        <w:lastRenderedPageBreak/>
        <w:t xml:space="preserve">la misma conducta materia de los hechos y, por tanto, existe identidad de la parte denunciada, del objeto y de la pretensión.  </w:t>
      </w:r>
    </w:p>
    <w:p w14:paraId="458FEA51" w14:textId="77777777" w:rsidR="00DE7B67" w:rsidRDefault="00044E47">
      <w:pPr>
        <w:tabs>
          <w:tab w:val="left" w:pos="284"/>
        </w:tabs>
        <w:spacing w:before="240" w:after="240" w:line="360" w:lineRule="auto"/>
        <w:ind w:right="40"/>
        <w:jc w:val="both"/>
        <w:rPr>
          <w:rFonts w:ascii="Arial" w:eastAsia="Arial" w:hAnsi="Arial" w:cs="Arial"/>
          <w:sz w:val="24"/>
          <w:szCs w:val="24"/>
        </w:rPr>
      </w:pPr>
      <w:r>
        <w:rPr>
          <w:rFonts w:ascii="Arial" w:eastAsia="Arial" w:hAnsi="Arial" w:cs="Arial"/>
          <w:b/>
          <w:sz w:val="24"/>
          <w:szCs w:val="24"/>
        </w:rPr>
        <w:t>6. Admisión, audiencia de pruebas y alegatos, y remisión del expediente.</w:t>
      </w:r>
      <w:r>
        <w:rPr>
          <w:rFonts w:ascii="Arial" w:eastAsia="Arial" w:hAnsi="Arial" w:cs="Arial"/>
          <w:sz w:val="24"/>
          <w:szCs w:val="24"/>
        </w:rPr>
        <w:t xml:space="preserve"> El 11 de junio, la Secretaría Ejecutiva admitió a trámite las denuncias y, el 15 siguiente, celebró la audiencia de pruebas y alegatos. El 16 del referido mes, rindió el informe circunstanciado y remitió el expediente a este Tribunal. </w:t>
      </w:r>
    </w:p>
    <w:p w14:paraId="3D1CEC4F" w14:textId="77777777" w:rsidR="00DE7B67" w:rsidRDefault="00044E47">
      <w:pPr>
        <w:tabs>
          <w:tab w:val="left" w:pos="284"/>
        </w:tabs>
        <w:spacing w:before="240" w:after="240" w:line="360" w:lineRule="auto"/>
        <w:ind w:right="40"/>
        <w:jc w:val="both"/>
        <w:rPr>
          <w:rFonts w:ascii="Arial" w:eastAsia="Arial" w:hAnsi="Arial" w:cs="Arial"/>
          <w:b/>
          <w:sz w:val="24"/>
          <w:szCs w:val="24"/>
        </w:rPr>
      </w:pPr>
      <w:r>
        <w:rPr>
          <w:rFonts w:ascii="Arial" w:eastAsia="Arial" w:hAnsi="Arial" w:cs="Arial"/>
          <w:b/>
          <w:sz w:val="24"/>
          <w:szCs w:val="24"/>
        </w:rPr>
        <w:t xml:space="preserve">7. Turno, radicación y formulación del proyecto de resolución TEEA-PES-065/2022. </w:t>
      </w:r>
      <w:r>
        <w:rPr>
          <w:rFonts w:ascii="Arial" w:eastAsia="Arial" w:hAnsi="Arial" w:cs="Arial"/>
          <w:sz w:val="24"/>
          <w:szCs w:val="24"/>
        </w:rPr>
        <w:t xml:space="preserve">El mismo día, la Magistrada </w:t>
      </w:r>
      <w:proofErr w:type="gramStart"/>
      <w:r>
        <w:rPr>
          <w:rFonts w:ascii="Arial" w:eastAsia="Arial" w:hAnsi="Arial" w:cs="Arial"/>
          <w:sz w:val="24"/>
          <w:szCs w:val="24"/>
        </w:rPr>
        <w:t>Presidenta</w:t>
      </w:r>
      <w:proofErr w:type="gramEnd"/>
      <w:r>
        <w:rPr>
          <w:rFonts w:ascii="Arial" w:eastAsia="Arial" w:hAnsi="Arial" w:cs="Arial"/>
          <w:sz w:val="24"/>
          <w:szCs w:val="24"/>
        </w:rPr>
        <w:t xml:space="preserve"> ordenó el registro del asunto con el número de expediente TEEA-PES-065/2022 y lo turnó a la Ponencia de la Magistrada Laura Hortensia Llamas Hernández, quien en su oportunidad lo radicó, y al no existir algún trámite pendiente, ordenó la formulación del proyecto.</w:t>
      </w:r>
      <w:r>
        <w:rPr>
          <w:rFonts w:ascii="Arial" w:eastAsia="Arial" w:hAnsi="Arial" w:cs="Arial"/>
          <w:sz w:val="24"/>
          <w:szCs w:val="24"/>
          <w:vertAlign w:val="superscript"/>
        </w:rPr>
        <w:footnoteReference w:id="4"/>
      </w:r>
    </w:p>
    <w:p w14:paraId="19A26619" w14:textId="77777777" w:rsidR="00DE7B67" w:rsidRDefault="00044E47">
      <w:pPr>
        <w:pBdr>
          <w:top w:val="nil"/>
          <w:left w:val="nil"/>
          <w:bottom w:val="nil"/>
          <w:right w:val="nil"/>
          <w:between w:val="nil"/>
        </w:pBdr>
        <w:tabs>
          <w:tab w:val="left" w:pos="284"/>
        </w:tabs>
        <w:spacing w:line="360" w:lineRule="auto"/>
        <w:ind w:right="36"/>
        <w:jc w:val="both"/>
        <w:rPr>
          <w:color w:val="000000"/>
        </w:rPr>
      </w:pPr>
      <w:r>
        <w:rPr>
          <w:rFonts w:ascii="Arial" w:eastAsia="Arial" w:hAnsi="Arial" w:cs="Arial"/>
          <w:b/>
          <w:color w:val="000000"/>
          <w:sz w:val="24"/>
          <w:szCs w:val="24"/>
        </w:rPr>
        <w:t xml:space="preserve">II. Competencia. </w:t>
      </w:r>
      <w:r>
        <w:rPr>
          <w:rFonts w:ascii="Arial" w:eastAsia="Arial" w:hAnsi="Arial" w:cs="Arial"/>
          <w:color w:val="000000"/>
          <w:sz w:val="24"/>
          <w:szCs w:val="24"/>
        </w:rPr>
        <w:t>Este Tribunal Electoral es competente para resolver el presente procedimiento especial sancionador, porque se relaciona con la posible vulneración al artículo 244, fracción X, en relación con el diverso 167, del Código Electoral, derivado de la inasistencia de la candidata denunciada al segundo debate obligatorio organizado por el Instituto Local</w:t>
      </w:r>
      <w:r>
        <w:rPr>
          <w:rFonts w:ascii="Arial" w:eastAsia="Arial" w:hAnsi="Arial" w:cs="Arial"/>
          <w:sz w:val="24"/>
          <w:szCs w:val="24"/>
        </w:rPr>
        <w:t>.</w:t>
      </w:r>
      <w:r>
        <w:rPr>
          <w:rFonts w:ascii="Arial" w:eastAsia="Arial" w:hAnsi="Arial" w:cs="Arial"/>
          <w:color w:val="000000"/>
          <w:sz w:val="24"/>
          <w:szCs w:val="24"/>
        </w:rPr>
        <w:t xml:space="preserve"> Lo anterior, de conformidad con los artículos 252, fracción II, 274 y 275 del Código Electoral.</w:t>
      </w:r>
    </w:p>
    <w:p w14:paraId="063386EE" w14:textId="77777777" w:rsidR="00DE7B67" w:rsidRDefault="00DE7B67">
      <w:pPr>
        <w:pBdr>
          <w:top w:val="nil"/>
          <w:left w:val="nil"/>
          <w:bottom w:val="nil"/>
          <w:right w:val="nil"/>
          <w:between w:val="nil"/>
        </w:pBdr>
        <w:rPr>
          <w:color w:val="000000"/>
        </w:rPr>
      </w:pPr>
    </w:p>
    <w:p w14:paraId="01CC14A2" w14:textId="77777777" w:rsidR="00DE7B67" w:rsidRDefault="00044E47">
      <w:pPr>
        <w:pBdr>
          <w:top w:val="nil"/>
          <w:left w:val="nil"/>
          <w:bottom w:val="nil"/>
          <w:right w:val="nil"/>
          <w:between w:val="nil"/>
        </w:pBdr>
        <w:tabs>
          <w:tab w:val="left" w:pos="426"/>
        </w:tabs>
        <w:spacing w:line="360" w:lineRule="auto"/>
        <w:ind w:right="36"/>
        <w:jc w:val="both"/>
        <w:rPr>
          <w:rFonts w:ascii="Arial" w:eastAsia="Arial" w:hAnsi="Arial" w:cs="Arial"/>
          <w:color w:val="000000"/>
          <w:sz w:val="24"/>
          <w:szCs w:val="24"/>
        </w:rPr>
      </w:pPr>
      <w:r>
        <w:rPr>
          <w:rFonts w:ascii="Arial" w:eastAsia="Arial" w:hAnsi="Arial" w:cs="Arial"/>
          <w:b/>
          <w:color w:val="000000"/>
          <w:sz w:val="24"/>
          <w:szCs w:val="24"/>
        </w:rPr>
        <w:t xml:space="preserve">III. Personería. </w:t>
      </w:r>
      <w:r>
        <w:rPr>
          <w:rFonts w:ascii="Arial" w:eastAsia="Arial" w:hAnsi="Arial" w:cs="Arial"/>
          <w:color w:val="000000"/>
          <w:sz w:val="24"/>
          <w:szCs w:val="24"/>
        </w:rPr>
        <w:t>La autoridad instructora tuvo por acreditada la personería de los denunciantes y l</w:t>
      </w:r>
      <w:r>
        <w:rPr>
          <w:rFonts w:ascii="Arial" w:eastAsia="Arial" w:hAnsi="Arial" w:cs="Arial"/>
          <w:sz w:val="24"/>
          <w:szCs w:val="24"/>
        </w:rPr>
        <w:t>as</w:t>
      </w:r>
      <w:r>
        <w:rPr>
          <w:rFonts w:ascii="Arial" w:eastAsia="Arial" w:hAnsi="Arial" w:cs="Arial"/>
          <w:color w:val="000000"/>
          <w:sz w:val="24"/>
          <w:szCs w:val="24"/>
        </w:rPr>
        <w:t xml:space="preserve"> </w:t>
      </w:r>
      <w:r>
        <w:rPr>
          <w:rFonts w:ascii="Arial" w:eastAsia="Arial" w:hAnsi="Arial" w:cs="Arial"/>
          <w:sz w:val="24"/>
          <w:szCs w:val="24"/>
        </w:rPr>
        <w:t>partes</w:t>
      </w:r>
      <w:r>
        <w:rPr>
          <w:rFonts w:ascii="Arial" w:eastAsia="Arial" w:hAnsi="Arial" w:cs="Arial"/>
          <w:color w:val="000000"/>
          <w:sz w:val="24"/>
          <w:szCs w:val="24"/>
        </w:rPr>
        <w:t xml:space="preserve"> denunciad</w:t>
      </w:r>
      <w:r>
        <w:rPr>
          <w:rFonts w:ascii="Arial" w:eastAsia="Arial" w:hAnsi="Arial" w:cs="Arial"/>
          <w:sz w:val="24"/>
          <w:szCs w:val="24"/>
        </w:rPr>
        <w:t>as, respectivamente</w:t>
      </w:r>
      <w:r>
        <w:rPr>
          <w:rFonts w:ascii="Arial" w:eastAsia="Arial" w:hAnsi="Arial" w:cs="Arial"/>
          <w:color w:val="000000"/>
          <w:sz w:val="24"/>
          <w:szCs w:val="24"/>
        </w:rPr>
        <w:t>.</w:t>
      </w:r>
    </w:p>
    <w:p w14:paraId="0D4038DC" w14:textId="77777777" w:rsidR="00DE7B67" w:rsidRDefault="00DE7B67">
      <w:pPr>
        <w:pBdr>
          <w:top w:val="nil"/>
          <w:left w:val="nil"/>
          <w:bottom w:val="nil"/>
          <w:right w:val="nil"/>
          <w:between w:val="nil"/>
        </w:pBdr>
        <w:rPr>
          <w:color w:val="000000"/>
        </w:rPr>
      </w:pPr>
    </w:p>
    <w:p w14:paraId="73D217A1" w14:textId="77777777" w:rsidR="00DE7B67" w:rsidRDefault="00044E47">
      <w:pPr>
        <w:pBdr>
          <w:top w:val="nil"/>
          <w:left w:val="nil"/>
          <w:bottom w:val="nil"/>
          <w:right w:val="nil"/>
          <w:between w:val="nil"/>
        </w:pBdr>
        <w:tabs>
          <w:tab w:val="left" w:pos="426"/>
        </w:tabs>
        <w:spacing w:line="360" w:lineRule="auto"/>
        <w:ind w:right="36"/>
        <w:jc w:val="both"/>
        <w:rPr>
          <w:rFonts w:ascii="Arial" w:eastAsia="Arial" w:hAnsi="Arial" w:cs="Arial"/>
          <w:b/>
          <w:sz w:val="24"/>
          <w:szCs w:val="24"/>
        </w:rPr>
      </w:pPr>
      <w:r>
        <w:rPr>
          <w:rFonts w:ascii="Arial" w:eastAsia="Arial" w:hAnsi="Arial" w:cs="Arial"/>
          <w:b/>
          <w:color w:val="000000"/>
          <w:sz w:val="24"/>
          <w:szCs w:val="24"/>
        </w:rPr>
        <w:t xml:space="preserve">IV. Causales de improcedencia. </w:t>
      </w:r>
      <w:r>
        <w:rPr>
          <w:rFonts w:ascii="Arial" w:eastAsia="Arial" w:hAnsi="Arial" w:cs="Arial"/>
          <w:color w:val="000000"/>
          <w:sz w:val="24"/>
          <w:szCs w:val="24"/>
        </w:rPr>
        <w:t xml:space="preserve">La ciudadana </w:t>
      </w:r>
      <w:r>
        <w:rPr>
          <w:rFonts w:ascii="Arial" w:eastAsia="Arial" w:hAnsi="Arial" w:cs="Arial"/>
          <w:sz w:val="24"/>
          <w:szCs w:val="24"/>
        </w:rPr>
        <w:t xml:space="preserve">María Teresa Jiménez Esquivel y el PAN, en sus escritos de contestación, refieren que la denuncia presentada en su contra es </w:t>
      </w:r>
      <w:r>
        <w:rPr>
          <w:rFonts w:ascii="Arial" w:eastAsia="Arial" w:hAnsi="Arial" w:cs="Arial"/>
          <w:b/>
          <w:sz w:val="24"/>
          <w:szCs w:val="24"/>
        </w:rPr>
        <w:t>frívola</w:t>
      </w:r>
      <w:r>
        <w:rPr>
          <w:rFonts w:ascii="Arial" w:eastAsia="Arial" w:hAnsi="Arial" w:cs="Arial"/>
          <w:sz w:val="24"/>
          <w:szCs w:val="24"/>
        </w:rPr>
        <w:t xml:space="preserve">, ya que la conducta denunciada es la inasistencia al segundo debate obligatorio organizado por la autoridad administrativa, infracción que ya fue valorada en la sentencia TEEA-PES-052/2022, misma que ha causado firmeza y, por tanto, aunque se realicen ciertas variaciones en cuanto a los hechos, la materia presente de las denuncias es </w:t>
      </w:r>
      <w:r>
        <w:rPr>
          <w:rFonts w:ascii="Arial" w:eastAsia="Arial" w:hAnsi="Arial" w:cs="Arial"/>
          <w:b/>
          <w:sz w:val="24"/>
          <w:szCs w:val="24"/>
        </w:rPr>
        <w:t>cosa juzgada.</w:t>
      </w:r>
    </w:p>
    <w:p w14:paraId="5DE165CD" w14:textId="77777777" w:rsidR="00DE7B67" w:rsidRDefault="00DE7B67">
      <w:pPr>
        <w:pBdr>
          <w:top w:val="nil"/>
          <w:left w:val="nil"/>
          <w:bottom w:val="nil"/>
          <w:right w:val="nil"/>
          <w:between w:val="nil"/>
        </w:pBdr>
        <w:rPr>
          <w:color w:val="000000"/>
        </w:rPr>
      </w:pPr>
    </w:p>
    <w:p w14:paraId="2B0B50CD" w14:textId="77777777" w:rsidR="00DE7B67" w:rsidRDefault="00044E47">
      <w:pPr>
        <w:pBdr>
          <w:top w:val="nil"/>
          <w:left w:val="nil"/>
          <w:bottom w:val="nil"/>
          <w:right w:val="nil"/>
          <w:between w:val="nil"/>
        </w:pBdr>
        <w:tabs>
          <w:tab w:val="left" w:pos="426"/>
        </w:tabs>
        <w:spacing w:line="360" w:lineRule="auto"/>
        <w:ind w:right="36"/>
        <w:jc w:val="both"/>
        <w:rPr>
          <w:rFonts w:ascii="Arial" w:eastAsia="Arial" w:hAnsi="Arial" w:cs="Arial"/>
          <w:sz w:val="24"/>
          <w:szCs w:val="24"/>
        </w:rPr>
      </w:pPr>
      <w:r>
        <w:rPr>
          <w:rFonts w:ascii="Arial" w:eastAsia="Arial" w:hAnsi="Arial" w:cs="Arial"/>
          <w:sz w:val="24"/>
          <w:szCs w:val="24"/>
        </w:rPr>
        <w:t>El artículo 270, fracción V, del Código Electoral</w:t>
      </w:r>
      <w:r>
        <w:rPr>
          <w:rFonts w:ascii="Arial" w:eastAsia="Arial" w:hAnsi="Arial" w:cs="Arial"/>
          <w:sz w:val="24"/>
          <w:szCs w:val="24"/>
          <w:vertAlign w:val="superscript"/>
        </w:rPr>
        <w:footnoteReference w:id="5"/>
      </w:r>
      <w:r>
        <w:rPr>
          <w:rFonts w:ascii="Arial" w:eastAsia="Arial" w:hAnsi="Arial" w:cs="Arial"/>
          <w:sz w:val="24"/>
          <w:szCs w:val="24"/>
        </w:rPr>
        <w:t xml:space="preserve"> establece que la denuncia se desechará de plano, cuando sea evidentemente frívola. Esta causal se actualiza cuando de la denuncia </w:t>
      </w:r>
      <w:r>
        <w:rPr>
          <w:rFonts w:ascii="Arial" w:eastAsia="Arial" w:hAnsi="Arial" w:cs="Arial"/>
          <w:sz w:val="24"/>
          <w:szCs w:val="24"/>
        </w:rPr>
        <w:lastRenderedPageBreak/>
        <w:t xml:space="preserve">se advierta que las pretensiones de la parte quejosa </w:t>
      </w:r>
      <w:r>
        <w:rPr>
          <w:rFonts w:ascii="Arial" w:eastAsia="Arial" w:hAnsi="Arial" w:cs="Arial"/>
          <w:b/>
          <w:sz w:val="24"/>
          <w:szCs w:val="24"/>
        </w:rPr>
        <w:t>no podrían lograrse jurídicamente</w:t>
      </w:r>
      <w:r>
        <w:rPr>
          <w:rFonts w:ascii="Arial" w:eastAsia="Arial" w:hAnsi="Arial" w:cs="Arial"/>
          <w:sz w:val="24"/>
          <w:szCs w:val="24"/>
        </w:rPr>
        <w:t>, por no estar al alcance del derecho o bien, que no existan pruebas que sirvan para acreditar la infracción.</w:t>
      </w:r>
    </w:p>
    <w:p w14:paraId="6C278E74" w14:textId="77777777" w:rsidR="00DE7B67" w:rsidRDefault="00044E47">
      <w:pPr>
        <w:tabs>
          <w:tab w:val="left" w:pos="426"/>
        </w:tabs>
        <w:spacing w:before="240" w:line="360" w:lineRule="auto"/>
        <w:ind w:right="40"/>
        <w:jc w:val="both"/>
        <w:rPr>
          <w:rFonts w:ascii="Arial" w:eastAsia="Arial" w:hAnsi="Arial" w:cs="Arial"/>
          <w:sz w:val="24"/>
          <w:szCs w:val="24"/>
        </w:rPr>
      </w:pPr>
      <w:r>
        <w:rPr>
          <w:rFonts w:ascii="Arial" w:eastAsia="Arial" w:hAnsi="Arial" w:cs="Arial"/>
          <w:sz w:val="24"/>
          <w:szCs w:val="24"/>
        </w:rPr>
        <w:t>Al respecto, este Tribunal Electoral considera que, de los escritos de las denuncias, se advierte que, con independencia de lo argumentado por las partes denunciantes, se cuestiona la comisión de infracciones novedosas, de ahí que, la posible actualización de estas, en todo caso, es materia de análisis en el estudio de fondo de la presente resolución.</w:t>
      </w:r>
    </w:p>
    <w:p w14:paraId="4490EB01" w14:textId="77777777" w:rsidR="00DE7B67" w:rsidRDefault="00DE7B67">
      <w:pPr>
        <w:pBdr>
          <w:top w:val="nil"/>
          <w:left w:val="nil"/>
          <w:bottom w:val="nil"/>
          <w:right w:val="nil"/>
          <w:between w:val="nil"/>
        </w:pBdr>
        <w:rPr>
          <w:color w:val="000000"/>
        </w:rPr>
      </w:pPr>
    </w:p>
    <w:p w14:paraId="069470BD" w14:textId="77777777" w:rsidR="00DE7B67" w:rsidRDefault="00044E47">
      <w:pPr>
        <w:pBdr>
          <w:top w:val="nil"/>
          <w:left w:val="nil"/>
          <w:bottom w:val="nil"/>
          <w:right w:val="nil"/>
          <w:between w:val="nil"/>
        </w:pBdr>
        <w:tabs>
          <w:tab w:val="left" w:pos="426"/>
        </w:tabs>
        <w:spacing w:line="360" w:lineRule="auto"/>
        <w:ind w:right="36"/>
        <w:jc w:val="both"/>
        <w:rPr>
          <w:rFonts w:ascii="Arial" w:eastAsia="Arial" w:hAnsi="Arial" w:cs="Arial"/>
          <w:b/>
          <w:sz w:val="24"/>
          <w:szCs w:val="24"/>
        </w:rPr>
      </w:pPr>
      <w:r>
        <w:rPr>
          <w:rFonts w:ascii="Arial" w:eastAsia="Arial" w:hAnsi="Arial" w:cs="Arial"/>
          <w:b/>
          <w:sz w:val="24"/>
          <w:szCs w:val="24"/>
        </w:rPr>
        <w:t>V. Estudio de fondo</w:t>
      </w:r>
    </w:p>
    <w:p w14:paraId="07B5C14E" w14:textId="77777777" w:rsidR="00DE7B67" w:rsidRDefault="00DE7B67">
      <w:pPr>
        <w:pBdr>
          <w:top w:val="nil"/>
          <w:left w:val="nil"/>
          <w:bottom w:val="nil"/>
          <w:right w:val="nil"/>
          <w:between w:val="nil"/>
        </w:pBdr>
        <w:rPr>
          <w:color w:val="000000"/>
          <w:sz w:val="16"/>
          <w:szCs w:val="16"/>
        </w:rPr>
      </w:pPr>
    </w:p>
    <w:p w14:paraId="62C57B1E" w14:textId="77777777" w:rsidR="00DE7B67" w:rsidRDefault="00044E47">
      <w:pPr>
        <w:pBdr>
          <w:top w:val="nil"/>
          <w:left w:val="nil"/>
          <w:bottom w:val="nil"/>
          <w:right w:val="nil"/>
          <w:between w:val="nil"/>
        </w:pBdr>
        <w:tabs>
          <w:tab w:val="left" w:pos="426"/>
        </w:tabs>
        <w:spacing w:line="360" w:lineRule="auto"/>
        <w:ind w:right="36"/>
        <w:jc w:val="both"/>
        <w:rPr>
          <w:rFonts w:ascii="Arial" w:eastAsia="Arial" w:hAnsi="Arial" w:cs="Arial"/>
          <w:b/>
          <w:sz w:val="24"/>
          <w:szCs w:val="24"/>
        </w:rPr>
      </w:pPr>
      <w:r>
        <w:rPr>
          <w:rFonts w:ascii="Arial" w:eastAsia="Arial" w:hAnsi="Arial" w:cs="Arial"/>
          <w:b/>
          <w:sz w:val="24"/>
          <w:szCs w:val="24"/>
        </w:rPr>
        <w:t xml:space="preserve">1. Hechos denunciados </w:t>
      </w:r>
    </w:p>
    <w:p w14:paraId="4D110710" w14:textId="77777777" w:rsidR="00DE7B67" w:rsidRDefault="00DE7B67">
      <w:pPr>
        <w:pBdr>
          <w:top w:val="nil"/>
          <w:left w:val="nil"/>
          <w:bottom w:val="nil"/>
          <w:right w:val="nil"/>
          <w:between w:val="nil"/>
        </w:pBdr>
        <w:rPr>
          <w:color w:val="000000"/>
        </w:rPr>
      </w:pPr>
    </w:p>
    <w:p w14:paraId="2148D080" w14:textId="77777777" w:rsidR="00DE7B67" w:rsidRDefault="00044E47">
      <w:pPr>
        <w:numPr>
          <w:ilvl w:val="1"/>
          <w:numId w:val="3"/>
        </w:numPr>
        <w:pBdr>
          <w:top w:val="nil"/>
          <w:left w:val="nil"/>
          <w:bottom w:val="nil"/>
          <w:right w:val="nil"/>
          <w:between w:val="nil"/>
        </w:pBdr>
        <w:tabs>
          <w:tab w:val="left" w:pos="426"/>
        </w:tabs>
        <w:spacing w:line="360" w:lineRule="auto"/>
        <w:ind w:left="0" w:right="36" w:firstLine="0"/>
        <w:jc w:val="both"/>
        <w:rPr>
          <w:rFonts w:ascii="Arial" w:eastAsia="Arial" w:hAnsi="Arial" w:cs="Arial"/>
          <w:color w:val="000000"/>
          <w:sz w:val="24"/>
          <w:szCs w:val="24"/>
        </w:rPr>
      </w:pPr>
      <w:bookmarkStart w:id="3" w:name="_heading=h.1fob9te" w:colFirst="0" w:colLast="0"/>
      <w:bookmarkEnd w:id="3"/>
      <w:r>
        <w:rPr>
          <w:rFonts w:ascii="Arial" w:eastAsia="Arial" w:hAnsi="Arial" w:cs="Arial"/>
          <w:b/>
          <w:color w:val="000000"/>
          <w:sz w:val="24"/>
          <w:szCs w:val="24"/>
        </w:rPr>
        <w:t xml:space="preserve">En contra de María Teresa Jiménez Esquivel. </w:t>
      </w:r>
      <w:r>
        <w:rPr>
          <w:rFonts w:ascii="Arial" w:eastAsia="Arial" w:hAnsi="Arial" w:cs="Arial"/>
          <w:color w:val="000000"/>
          <w:sz w:val="24"/>
          <w:szCs w:val="24"/>
        </w:rPr>
        <w:t xml:space="preserve">El PVEM y Morena, refieren que la candidata denunciada incumplió su deber de asistir al segundo debate obligatorio organizado por el Instituto Local, de manera premeditada y dolosa, </w:t>
      </w:r>
      <w:r>
        <w:rPr>
          <w:rFonts w:ascii="Arial" w:eastAsia="Arial" w:hAnsi="Arial" w:cs="Arial"/>
          <w:sz w:val="24"/>
          <w:szCs w:val="24"/>
        </w:rPr>
        <w:t xml:space="preserve">dado que, en misma fecha y hora, organizó un evento proselitista de carácter masivo. </w:t>
      </w:r>
    </w:p>
    <w:p w14:paraId="01737042" w14:textId="77777777" w:rsidR="00DE7B67" w:rsidRDefault="00DE7B67">
      <w:pPr>
        <w:pBdr>
          <w:top w:val="nil"/>
          <w:left w:val="nil"/>
          <w:bottom w:val="nil"/>
          <w:right w:val="nil"/>
          <w:between w:val="nil"/>
        </w:pBdr>
        <w:rPr>
          <w:color w:val="000000"/>
        </w:rPr>
      </w:pPr>
    </w:p>
    <w:p w14:paraId="44A63877" w14:textId="77777777" w:rsidR="00DE7B67" w:rsidRDefault="00044E47">
      <w:pPr>
        <w:pBdr>
          <w:top w:val="nil"/>
          <w:left w:val="nil"/>
          <w:bottom w:val="nil"/>
          <w:right w:val="nil"/>
          <w:between w:val="nil"/>
        </w:pBdr>
        <w:tabs>
          <w:tab w:val="left" w:pos="426"/>
        </w:tabs>
        <w:spacing w:line="360" w:lineRule="auto"/>
        <w:ind w:right="36"/>
        <w:jc w:val="both"/>
        <w:rPr>
          <w:rFonts w:ascii="Arial" w:eastAsia="Arial" w:hAnsi="Arial" w:cs="Arial"/>
          <w:color w:val="000000"/>
          <w:sz w:val="24"/>
          <w:szCs w:val="24"/>
        </w:rPr>
      </w:pPr>
      <w:r>
        <w:rPr>
          <w:rFonts w:ascii="Arial" w:eastAsia="Arial" w:hAnsi="Arial" w:cs="Arial"/>
          <w:color w:val="000000"/>
          <w:sz w:val="24"/>
          <w:szCs w:val="24"/>
        </w:rPr>
        <w:t xml:space="preserve">Lo anterior, a dicho de Morena, tuvo la intención de desviar la atención del electorado </w:t>
      </w:r>
      <w:r>
        <w:rPr>
          <w:rFonts w:ascii="Arial" w:eastAsia="Arial" w:hAnsi="Arial" w:cs="Arial"/>
          <w:sz w:val="24"/>
          <w:szCs w:val="24"/>
        </w:rPr>
        <w:t>hacia e</w:t>
      </w:r>
      <w:r>
        <w:rPr>
          <w:rFonts w:ascii="Arial" w:eastAsia="Arial" w:hAnsi="Arial" w:cs="Arial"/>
          <w:color w:val="000000"/>
          <w:sz w:val="24"/>
          <w:szCs w:val="24"/>
        </w:rPr>
        <w:t xml:space="preserve">l debate en comento, lo cual, vulneró el derecho a la información y el ejercicio de un voto informado en perjuicio de la ciudadanía. </w:t>
      </w:r>
    </w:p>
    <w:p w14:paraId="37D118AE" w14:textId="77777777" w:rsidR="00DE7B67" w:rsidRDefault="00DE7B67">
      <w:pPr>
        <w:pBdr>
          <w:top w:val="nil"/>
          <w:left w:val="nil"/>
          <w:bottom w:val="nil"/>
          <w:right w:val="nil"/>
          <w:between w:val="nil"/>
        </w:pBdr>
        <w:ind w:right="36"/>
        <w:jc w:val="both"/>
      </w:pPr>
    </w:p>
    <w:p w14:paraId="6BAC9C48" w14:textId="77777777" w:rsidR="00DE7B67" w:rsidRDefault="00044E47">
      <w:pPr>
        <w:pBdr>
          <w:top w:val="nil"/>
          <w:left w:val="nil"/>
          <w:bottom w:val="nil"/>
          <w:right w:val="nil"/>
          <w:between w:val="nil"/>
        </w:pBdr>
        <w:spacing w:line="360" w:lineRule="auto"/>
        <w:ind w:right="36"/>
        <w:jc w:val="both"/>
        <w:rPr>
          <w:rFonts w:ascii="Arial" w:eastAsia="Arial" w:hAnsi="Arial" w:cs="Arial"/>
          <w:color w:val="000000"/>
          <w:sz w:val="24"/>
          <w:szCs w:val="24"/>
        </w:rPr>
      </w:pPr>
      <w:r>
        <w:rPr>
          <w:rFonts w:ascii="Arial" w:eastAsia="Arial" w:hAnsi="Arial" w:cs="Arial"/>
          <w:b/>
          <w:color w:val="000000"/>
          <w:sz w:val="24"/>
          <w:szCs w:val="24"/>
        </w:rPr>
        <w:t xml:space="preserve">1.2. En contra de Morena. </w:t>
      </w:r>
      <w:r>
        <w:rPr>
          <w:rFonts w:ascii="Arial" w:eastAsia="Arial" w:hAnsi="Arial" w:cs="Arial"/>
          <w:color w:val="000000"/>
          <w:sz w:val="24"/>
          <w:szCs w:val="24"/>
        </w:rPr>
        <w:t xml:space="preserve">Morena refiere que </w:t>
      </w:r>
      <w:r>
        <w:rPr>
          <w:rFonts w:ascii="Arial" w:eastAsia="Arial" w:hAnsi="Arial" w:cs="Arial"/>
          <w:sz w:val="24"/>
          <w:szCs w:val="24"/>
        </w:rPr>
        <w:t>los institutos políticos PAN, PRI y PRD,</w:t>
      </w:r>
      <w:r>
        <w:rPr>
          <w:rFonts w:ascii="Arial" w:eastAsia="Arial" w:hAnsi="Arial" w:cs="Arial"/>
          <w:b/>
          <w:color w:val="000000"/>
          <w:sz w:val="24"/>
          <w:szCs w:val="24"/>
        </w:rPr>
        <w:t xml:space="preserve"> incumplieron su deber de cuidar </w:t>
      </w:r>
      <w:r>
        <w:rPr>
          <w:rFonts w:ascii="Arial" w:eastAsia="Arial" w:hAnsi="Arial" w:cs="Arial"/>
          <w:color w:val="000000"/>
          <w:sz w:val="24"/>
          <w:szCs w:val="24"/>
        </w:rPr>
        <w:t>que su candidata no incumpliera la normativa electoral.</w:t>
      </w:r>
    </w:p>
    <w:p w14:paraId="57F46486" w14:textId="77777777" w:rsidR="00DE7B67" w:rsidRDefault="00DE7B67">
      <w:pPr>
        <w:pBdr>
          <w:top w:val="nil"/>
          <w:left w:val="nil"/>
          <w:bottom w:val="nil"/>
          <w:right w:val="nil"/>
          <w:between w:val="nil"/>
        </w:pBdr>
        <w:rPr>
          <w:color w:val="000000"/>
        </w:rPr>
      </w:pPr>
    </w:p>
    <w:p w14:paraId="55C157F2" w14:textId="77777777" w:rsidR="00DE7B67" w:rsidRDefault="00044E47">
      <w:p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2. Defensa. </w:t>
      </w:r>
      <w:r>
        <w:rPr>
          <w:rFonts w:ascii="Arial" w:eastAsia="Arial" w:hAnsi="Arial" w:cs="Arial"/>
          <w:color w:val="000000"/>
          <w:sz w:val="24"/>
          <w:szCs w:val="24"/>
        </w:rPr>
        <w:t xml:space="preserve">La entonces candidata y el PAN como partes denunciadas, manifestaron lo siguiente: </w:t>
      </w:r>
    </w:p>
    <w:p w14:paraId="7557D500" w14:textId="77777777" w:rsidR="00DE7B67" w:rsidRDefault="00044E47">
      <w:pPr>
        <w:numPr>
          <w:ilvl w:val="0"/>
          <w:numId w:val="8"/>
        </w:numPr>
        <w:pBdr>
          <w:top w:val="nil"/>
          <w:left w:val="nil"/>
          <w:bottom w:val="nil"/>
          <w:right w:val="nil"/>
          <w:between w:val="nil"/>
        </w:pBdr>
        <w:tabs>
          <w:tab w:val="left" w:pos="567"/>
        </w:tabs>
        <w:spacing w:line="36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 xml:space="preserve">Consideran que, dado que la conducta denunciada es la inasistencia al segundo debate obligatorio organizado por el Instituto Local, se </w:t>
      </w:r>
      <w:r>
        <w:rPr>
          <w:rFonts w:ascii="Arial" w:eastAsia="Arial" w:hAnsi="Arial" w:cs="Arial"/>
          <w:sz w:val="24"/>
          <w:szCs w:val="24"/>
        </w:rPr>
        <w:t>actualiza</w:t>
      </w:r>
      <w:r>
        <w:rPr>
          <w:rFonts w:ascii="Arial" w:eastAsia="Arial" w:hAnsi="Arial" w:cs="Arial"/>
          <w:color w:val="000000"/>
          <w:sz w:val="24"/>
          <w:szCs w:val="24"/>
        </w:rPr>
        <w:t xml:space="preserve"> la figura </w:t>
      </w:r>
      <w:r>
        <w:rPr>
          <w:rFonts w:ascii="Arial" w:eastAsia="Arial" w:hAnsi="Arial" w:cs="Arial"/>
          <w:sz w:val="24"/>
          <w:szCs w:val="24"/>
        </w:rPr>
        <w:t>procesal</w:t>
      </w:r>
      <w:r>
        <w:rPr>
          <w:rFonts w:ascii="Arial" w:eastAsia="Arial" w:hAnsi="Arial" w:cs="Arial"/>
          <w:color w:val="000000"/>
          <w:sz w:val="24"/>
          <w:szCs w:val="24"/>
        </w:rPr>
        <w:t xml:space="preserve"> de cosa juzgada.</w:t>
      </w:r>
    </w:p>
    <w:p w14:paraId="45934507" w14:textId="77777777" w:rsidR="00DE7B67" w:rsidRDefault="00044E47">
      <w:pPr>
        <w:numPr>
          <w:ilvl w:val="0"/>
          <w:numId w:val="8"/>
        </w:numPr>
        <w:pBdr>
          <w:top w:val="nil"/>
          <w:left w:val="nil"/>
          <w:bottom w:val="nil"/>
          <w:right w:val="nil"/>
          <w:between w:val="nil"/>
        </w:pBdr>
        <w:tabs>
          <w:tab w:val="left" w:pos="567"/>
        </w:tabs>
        <w:spacing w:line="36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 xml:space="preserve">Niegan que el evento “Marcha por la Paz” se </w:t>
      </w:r>
      <w:r>
        <w:rPr>
          <w:rFonts w:ascii="Arial" w:eastAsia="Arial" w:hAnsi="Arial" w:cs="Arial"/>
          <w:sz w:val="24"/>
          <w:szCs w:val="24"/>
        </w:rPr>
        <w:t>haya organizado</w:t>
      </w:r>
      <w:r>
        <w:rPr>
          <w:rFonts w:ascii="Arial" w:eastAsia="Arial" w:hAnsi="Arial" w:cs="Arial"/>
          <w:color w:val="000000"/>
          <w:sz w:val="24"/>
          <w:szCs w:val="24"/>
        </w:rPr>
        <w:t xml:space="preserve"> con la finalidad de distraer la atención del electorado del debate en cuestión. </w:t>
      </w:r>
    </w:p>
    <w:p w14:paraId="3DCC0A44" w14:textId="77777777" w:rsidR="00DE7B67" w:rsidRDefault="00DE7B67">
      <w:pPr>
        <w:pBdr>
          <w:top w:val="nil"/>
          <w:left w:val="nil"/>
          <w:bottom w:val="nil"/>
          <w:right w:val="nil"/>
          <w:between w:val="nil"/>
        </w:pBdr>
        <w:rPr>
          <w:color w:val="000000"/>
        </w:rPr>
      </w:pPr>
    </w:p>
    <w:p w14:paraId="57B29BAF" w14:textId="77777777" w:rsidR="00DE7B67" w:rsidRDefault="00044E47">
      <w:pPr>
        <w:tabs>
          <w:tab w:val="left" w:pos="567"/>
        </w:tabs>
        <w:spacing w:line="360" w:lineRule="auto"/>
        <w:jc w:val="both"/>
        <w:rPr>
          <w:rFonts w:ascii="Arial" w:eastAsia="Arial" w:hAnsi="Arial" w:cs="Arial"/>
          <w:b/>
          <w:sz w:val="24"/>
          <w:szCs w:val="24"/>
        </w:rPr>
      </w:pPr>
      <w:r>
        <w:rPr>
          <w:rFonts w:ascii="Arial" w:eastAsia="Arial" w:hAnsi="Arial" w:cs="Arial"/>
          <w:b/>
          <w:color w:val="000000"/>
          <w:sz w:val="24"/>
          <w:szCs w:val="24"/>
        </w:rPr>
        <w:t xml:space="preserve">3. Descripción de los medios de prueba. </w:t>
      </w:r>
      <w:r>
        <w:rPr>
          <w:rFonts w:ascii="Arial" w:eastAsia="Arial" w:hAnsi="Arial" w:cs="Arial"/>
          <w:color w:val="000000"/>
          <w:sz w:val="24"/>
          <w:szCs w:val="24"/>
        </w:rPr>
        <w:t>Como se advierte, de la audiencia de pruebas y alegatos, a las partes les fueron admitidas y desahogadas las siguientes probanzas:</w:t>
      </w:r>
      <w:r>
        <w:rPr>
          <w:rFonts w:ascii="Arial" w:eastAsia="Arial" w:hAnsi="Arial" w:cs="Arial"/>
          <w:b/>
          <w:sz w:val="24"/>
          <w:szCs w:val="24"/>
        </w:rPr>
        <w:t xml:space="preserve"> </w:t>
      </w:r>
    </w:p>
    <w:p w14:paraId="7A0B5F43" w14:textId="77777777" w:rsidR="00DE7B67" w:rsidRDefault="00DE7B67">
      <w:pPr>
        <w:pBdr>
          <w:top w:val="nil"/>
          <w:left w:val="nil"/>
          <w:bottom w:val="nil"/>
          <w:right w:val="nil"/>
          <w:between w:val="nil"/>
        </w:pBdr>
        <w:rPr>
          <w:color w:val="000000"/>
        </w:rPr>
      </w:pPr>
    </w:p>
    <w:p w14:paraId="2152939D" w14:textId="77777777" w:rsidR="00DE7B67" w:rsidRDefault="00044E47">
      <w:pPr>
        <w:pBdr>
          <w:top w:val="nil"/>
          <w:left w:val="nil"/>
          <w:bottom w:val="nil"/>
          <w:right w:val="nil"/>
          <w:between w:val="nil"/>
        </w:pBdr>
        <w:tabs>
          <w:tab w:val="left" w:pos="567"/>
        </w:tabs>
        <w:spacing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3.1 Pruebas aportadas por el PVEM: </w:t>
      </w:r>
    </w:p>
    <w:tbl>
      <w:tblPr>
        <w:tblStyle w:val="aff7"/>
        <w:tblW w:w="9780"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495"/>
        <w:gridCol w:w="2760"/>
        <w:gridCol w:w="6525"/>
      </w:tblGrid>
      <w:tr w:rsidR="00DE7B67" w14:paraId="2376AECF" w14:textId="77777777" w:rsidTr="00DE7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Pr>
          <w:p w14:paraId="77F5B4B0" w14:textId="77777777" w:rsidR="00DE7B67" w:rsidRDefault="00044E47">
            <w:pPr>
              <w:jc w:val="center"/>
              <w:rPr>
                <w:rFonts w:ascii="Arial" w:eastAsia="Arial" w:hAnsi="Arial" w:cs="Arial"/>
                <w:color w:val="000000"/>
                <w:sz w:val="18"/>
                <w:szCs w:val="18"/>
              </w:rPr>
            </w:pPr>
            <w:r>
              <w:rPr>
                <w:rFonts w:ascii="Arial" w:eastAsia="Arial" w:hAnsi="Arial" w:cs="Arial"/>
                <w:color w:val="000000"/>
                <w:sz w:val="18"/>
                <w:szCs w:val="18"/>
              </w:rPr>
              <w:t>#</w:t>
            </w:r>
          </w:p>
        </w:tc>
        <w:tc>
          <w:tcPr>
            <w:tcW w:w="2760" w:type="dxa"/>
          </w:tcPr>
          <w:p w14:paraId="2821CF28" w14:textId="77777777" w:rsidR="00DE7B67" w:rsidRDefault="00044E47">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Prueba</w:t>
            </w:r>
          </w:p>
        </w:tc>
        <w:tc>
          <w:tcPr>
            <w:tcW w:w="6525" w:type="dxa"/>
          </w:tcPr>
          <w:p w14:paraId="3414F7E4" w14:textId="77777777" w:rsidR="00DE7B67" w:rsidRDefault="00044E47">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Consistente en</w:t>
            </w:r>
          </w:p>
        </w:tc>
      </w:tr>
      <w:tr w:rsidR="00DE7B67" w14:paraId="5AE74C47" w14:textId="77777777" w:rsidTr="00DE7B67">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95" w:type="dxa"/>
          </w:tcPr>
          <w:p w14:paraId="1B1D11E5" w14:textId="77777777" w:rsidR="00DE7B67" w:rsidRDefault="00044E47">
            <w:pPr>
              <w:jc w:val="center"/>
              <w:rPr>
                <w:rFonts w:ascii="Arial" w:eastAsia="Arial" w:hAnsi="Arial" w:cs="Arial"/>
                <w:sz w:val="18"/>
                <w:szCs w:val="18"/>
              </w:rPr>
            </w:pPr>
            <w:r>
              <w:rPr>
                <w:rFonts w:ascii="Arial" w:eastAsia="Arial" w:hAnsi="Arial" w:cs="Arial"/>
                <w:sz w:val="18"/>
                <w:szCs w:val="18"/>
              </w:rPr>
              <w:t>1</w:t>
            </w:r>
          </w:p>
        </w:tc>
        <w:tc>
          <w:tcPr>
            <w:tcW w:w="2760" w:type="dxa"/>
          </w:tcPr>
          <w:p w14:paraId="454437BD" w14:textId="77777777" w:rsidR="00DE7B67" w:rsidRDefault="00044E47">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8"/>
                <w:szCs w:val="18"/>
              </w:rPr>
            </w:pPr>
            <w:proofErr w:type="gramStart"/>
            <w:r>
              <w:rPr>
                <w:rFonts w:ascii="Arial" w:eastAsia="Arial" w:hAnsi="Arial" w:cs="Arial"/>
                <w:b/>
                <w:sz w:val="18"/>
                <w:szCs w:val="18"/>
              </w:rPr>
              <w:t>Documental pública</w:t>
            </w:r>
            <w:proofErr w:type="gramEnd"/>
          </w:p>
        </w:tc>
        <w:tc>
          <w:tcPr>
            <w:tcW w:w="6525" w:type="dxa"/>
          </w:tcPr>
          <w:p w14:paraId="651B1451" w14:textId="77777777" w:rsidR="00DE7B67" w:rsidRDefault="00044E47">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Oficialía Electoral IEE/OE/112/2022.</w:t>
            </w:r>
          </w:p>
        </w:tc>
      </w:tr>
      <w:tr w:rsidR="00DE7B67" w14:paraId="5B3E9E74" w14:textId="77777777" w:rsidTr="00DE7B67">
        <w:trPr>
          <w:trHeight w:val="384"/>
        </w:trPr>
        <w:tc>
          <w:tcPr>
            <w:cnfStyle w:val="001000000000" w:firstRow="0" w:lastRow="0" w:firstColumn="1" w:lastColumn="0" w:oddVBand="0" w:evenVBand="0" w:oddHBand="0" w:evenHBand="0" w:firstRowFirstColumn="0" w:firstRowLastColumn="0" w:lastRowFirstColumn="0" w:lastRowLastColumn="0"/>
            <w:tcW w:w="495" w:type="dxa"/>
          </w:tcPr>
          <w:p w14:paraId="76662C5C" w14:textId="77777777" w:rsidR="00DE7B67" w:rsidRDefault="00044E47">
            <w:pPr>
              <w:jc w:val="center"/>
              <w:rPr>
                <w:rFonts w:ascii="Arial" w:eastAsia="Arial" w:hAnsi="Arial" w:cs="Arial"/>
                <w:sz w:val="18"/>
                <w:szCs w:val="18"/>
              </w:rPr>
            </w:pPr>
            <w:r>
              <w:rPr>
                <w:rFonts w:ascii="Arial" w:eastAsia="Arial" w:hAnsi="Arial" w:cs="Arial"/>
                <w:sz w:val="18"/>
                <w:szCs w:val="18"/>
              </w:rPr>
              <w:t>2</w:t>
            </w:r>
          </w:p>
        </w:tc>
        <w:tc>
          <w:tcPr>
            <w:tcW w:w="2760" w:type="dxa"/>
          </w:tcPr>
          <w:p w14:paraId="48C0CD31" w14:textId="77777777" w:rsidR="00DE7B67" w:rsidRDefault="00044E47">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8"/>
                <w:szCs w:val="18"/>
              </w:rPr>
            </w:pPr>
            <w:r>
              <w:rPr>
                <w:rFonts w:ascii="Arial" w:eastAsia="Arial" w:hAnsi="Arial" w:cs="Arial"/>
                <w:b/>
                <w:sz w:val="18"/>
                <w:szCs w:val="18"/>
              </w:rPr>
              <w:t xml:space="preserve">Instrumental de actuaciones  </w:t>
            </w:r>
          </w:p>
        </w:tc>
        <w:tc>
          <w:tcPr>
            <w:tcW w:w="6525" w:type="dxa"/>
          </w:tcPr>
          <w:p w14:paraId="278CAFBD" w14:textId="77777777" w:rsidR="00DE7B67" w:rsidRDefault="00044E47">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Todo lo que por su contenido y alcance favorezca a sus intereses.</w:t>
            </w:r>
          </w:p>
        </w:tc>
      </w:tr>
      <w:tr w:rsidR="00DE7B67" w14:paraId="22882479" w14:textId="77777777" w:rsidTr="00DE7B6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495" w:type="dxa"/>
          </w:tcPr>
          <w:p w14:paraId="0C51BC35" w14:textId="77777777" w:rsidR="00DE7B67" w:rsidRDefault="00044E47">
            <w:pPr>
              <w:jc w:val="center"/>
              <w:rPr>
                <w:rFonts w:ascii="Arial" w:eastAsia="Arial" w:hAnsi="Arial" w:cs="Arial"/>
                <w:sz w:val="18"/>
                <w:szCs w:val="18"/>
              </w:rPr>
            </w:pPr>
            <w:r>
              <w:rPr>
                <w:rFonts w:ascii="Arial" w:eastAsia="Arial" w:hAnsi="Arial" w:cs="Arial"/>
                <w:sz w:val="18"/>
                <w:szCs w:val="18"/>
              </w:rPr>
              <w:t>3</w:t>
            </w:r>
          </w:p>
        </w:tc>
        <w:tc>
          <w:tcPr>
            <w:tcW w:w="2760" w:type="dxa"/>
          </w:tcPr>
          <w:p w14:paraId="36ADFE98" w14:textId="77777777" w:rsidR="00DE7B67" w:rsidRDefault="00044E47">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8"/>
                <w:szCs w:val="18"/>
              </w:rPr>
            </w:pPr>
            <w:r>
              <w:rPr>
                <w:rFonts w:ascii="Arial" w:eastAsia="Arial" w:hAnsi="Arial" w:cs="Arial"/>
                <w:b/>
                <w:sz w:val="18"/>
                <w:szCs w:val="18"/>
              </w:rPr>
              <w:t>Presuncional legal y humana</w:t>
            </w:r>
          </w:p>
        </w:tc>
        <w:tc>
          <w:tcPr>
            <w:tcW w:w="6525" w:type="dxa"/>
          </w:tcPr>
          <w:p w14:paraId="4C0CCFAE" w14:textId="77777777" w:rsidR="00DE7B67" w:rsidRDefault="00044E47">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Todo lo que por su contenido y alcance favorezca a sus intereses.</w:t>
            </w:r>
          </w:p>
        </w:tc>
      </w:tr>
    </w:tbl>
    <w:p w14:paraId="5BEBFCC3" w14:textId="7D11CC47" w:rsidR="00DE7B67" w:rsidRDefault="00DE7B67">
      <w:pPr>
        <w:pBdr>
          <w:top w:val="nil"/>
          <w:left w:val="nil"/>
          <w:bottom w:val="nil"/>
          <w:right w:val="nil"/>
          <w:between w:val="nil"/>
        </w:pBdr>
        <w:tabs>
          <w:tab w:val="left" w:pos="567"/>
        </w:tabs>
        <w:spacing w:line="360" w:lineRule="auto"/>
        <w:jc w:val="both"/>
        <w:rPr>
          <w:rFonts w:ascii="Arial" w:eastAsia="Arial" w:hAnsi="Arial" w:cs="Arial"/>
          <w:b/>
          <w:color w:val="000000"/>
          <w:sz w:val="24"/>
          <w:szCs w:val="24"/>
        </w:rPr>
      </w:pPr>
    </w:p>
    <w:p w14:paraId="2ED6C218" w14:textId="77777777" w:rsidR="003D4D2E" w:rsidRDefault="003D4D2E">
      <w:pPr>
        <w:pBdr>
          <w:top w:val="nil"/>
          <w:left w:val="nil"/>
          <w:bottom w:val="nil"/>
          <w:right w:val="nil"/>
          <w:between w:val="nil"/>
        </w:pBdr>
        <w:tabs>
          <w:tab w:val="left" w:pos="567"/>
        </w:tabs>
        <w:spacing w:line="360" w:lineRule="auto"/>
        <w:jc w:val="both"/>
        <w:rPr>
          <w:rFonts w:ascii="Arial" w:eastAsia="Arial" w:hAnsi="Arial" w:cs="Arial"/>
          <w:b/>
          <w:color w:val="000000"/>
          <w:sz w:val="24"/>
          <w:szCs w:val="24"/>
        </w:rPr>
      </w:pPr>
    </w:p>
    <w:p w14:paraId="074CB7A2" w14:textId="77777777" w:rsidR="00DE7B67" w:rsidRDefault="00044E47">
      <w:pPr>
        <w:pBdr>
          <w:top w:val="nil"/>
          <w:left w:val="nil"/>
          <w:bottom w:val="nil"/>
          <w:right w:val="nil"/>
          <w:between w:val="nil"/>
        </w:pBdr>
        <w:tabs>
          <w:tab w:val="left" w:pos="567"/>
        </w:tabs>
        <w:spacing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3.2. Pruebas aportadas por Morena: </w:t>
      </w:r>
    </w:p>
    <w:p w14:paraId="252D7FD2" w14:textId="77777777" w:rsidR="00DE7B67" w:rsidRDefault="00DE7B67">
      <w:pPr>
        <w:pBdr>
          <w:top w:val="nil"/>
          <w:left w:val="nil"/>
          <w:bottom w:val="nil"/>
          <w:right w:val="nil"/>
          <w:between w:val="nil"/>
        </w:pBdr>
        <w:rPr>
          <w:color w:val="000000"/>
        </w:rPr>
      </w:pPr>
    </w:p>
    <w:tbl>
      <w:tblPr>
        <w:tblStyle w:val="aff8"/>
        <w:tblW w:w="9735"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495"/>
        <w:gridCol w:w="2760"/>
        <w:gridCol w:w="6480"/>
      </w:tblGrid>
      <w:tr w:rsidR="00DE7B67" w14:paraId="191BABF0" w14:textId="77777777" w:rsidTr="00DE7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Pr>
          <w:p w14:paraId="5D8D5715" w14:textId="77777777" w:rsidR="00DE7B67" w:rsidRDefault="00044E47">
            <w:pPr>
              <w:jc w:val="center"/>
              <w:rPr>
                <w:rFonts w:ascii="Arial" w:eastAsia="Arial" w:hAnsi="Arial" w:cs="Arial"/>
                <w:color w:val="000000"/>
                <w:sz w:val="18"/>
                <w:szCs w:val="18"/>
              </w:rPr>
            </w:pPr>
            <w:r>
              <w:rPr>
                <w:rFonts w:ascii="Arial" w:eastAsia="Arial" w:hAnsi="Arial" w:cs="Arial"/>
                <w:color w:val="000000"/>
                <w:sz w:val="18"/>
                <w:szCs w:val="18"/>
              </w:rPr>
              <w:t>#</w:t>
            </w:r>
          </w:p>
        </w:tc>
        <w:tc>
          <w:tcPr>
            <w:tcW w:w="2760" w:type="dxa"/>
          </w:tcPr>
          <w:p w14:paraId="12529886" w14:textId="77777777" w:rsidR="00DE7B67" w:rsidRDefault="00044E47">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Prueba</w:t>
            </w:r>
          </w:p>
        </w:tc>
        <w:tc>
          <w:tcPr>
            <w:tcW w:w="6480" w:type="dxa"/>
          </w:tcPr>
          <w:p w14:paraId="05B202A2" w14:textId="77777777" w:rsidR="00DE7B67" w:rsidRDefault="00044E47">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Consistente en</w:t>
            </w:r>
          </w:p>
        </w:tc>
      </w:tr>
      <w:tr w:rsidR="00DE7B67" w14:paraId="73A219F2" w14:textId="77777777" w:rsidTr="00DE7B67">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95" w:type="dxa"/>
          </w:tcPr>
          <w:p w14:paraId="559FDAAC" w14:textId="77777777" w:rsidR="00DE7B67" w:rsidRDefault="00044E47">
            <w:pPr>
              <w:jc w:val="center"/>
              <w:rPr>
                <w:rFonts w:ascii="Arial" w:eastAsia="Arial" w:hAnsi="Arial" w:cs="Arial"/>
                <w:sz w:val="18"/>
                <w:szCs w:val="18"/>
              </w:rPr>
            </w:pPr>
            <w:r>
              <w:rPr>
                <w:rFonts w:ascii="Arial" w:eastAsia="Arial" w:hAnsi="Arial" w:cs="Arial"/>
                <w:sz w:val="18"/>
                <w:szCs w:val="18"/>
              </w:rPr>
              <w:t>1</w:t>
            </w:r>
          </w:p>
        </w:tc>
        <w:tc>
          <w:tcPr>
            <w:tcW w:w="2760" w:type="dxa"/>
          </w:tcPr>
          <w:p w14:paraId="7094D312" w14:textId="77777777" w:rsidR="00DE7B67" w:rsidRDefault="00044E47">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8"/>
                <w:szCs w:val="18"/>
              </w:rPr>
            </w:pPr>
            <w:proofErr w:type="gramStart"/>
            <w:r>
              <w:rPr>
                <w:rFonts w:ascii="Arial" w:eastAsia="Arial" w:hAnsi="Arial" w:cs="Arial"/>
                <w:b/>
                <w:sz w:val="18"/>
                <w:szCs w:val="18"/>
              </w:rPr>
              <w:t>Documental pública</w:t>
            </w:r>
            <w:proofErr w:type="gramEnd"/>
          </w:p>
        </w:tc>
        <w:tc>
          <w:tcPr>
            <w:tcW w:w="6480" w:type="dxa"/>
          </w:tcPr>
          <w:p w14:paraId="18724A89" w14:textId="77777777" w:rsidR="00DE7B67" w:rsidRDefault="00044E47">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Oficialía Electoral IEE/OE/122/2022.</w:t>
            </w:r>
          </w:p>
        </w:tc>
      </w:tr>
      <w:tr w:rsidR="00DE7B67" w14:paraId="29BA57AE" w14:textId="77777777" w:rsidTr="00DE7B67">
        <w:trPr>
          <w:trHeight w:val="384"/>
        </w:trPr>
        <w:tc>
          <w:tcPr>
            <w:cnfStyle w:val="001000000000" w:firstRow="0" w:lastRow="0" w:firstColumn="1" w:lastColumn="0" w:oddVBand="0" w:evenVBand="0" w:oddHBand="0" w:evenHBand="0" w:firstRowFirstColumn="0" w:firstRowLastColumn="0" w:lastRowFirstColumn="0" w:lastRowLastColumn="0"/>
            <w:tcW w:w="495" w:type="dxa"/>
          </w:tcPr>
          <w:p w14:paraId="2CCA5140" w14:textId="77777777" w:rsidR="00DE7B67" w:rsidRDefault="00044E47">
            <w:pPr>
              <w:jc w:val="center"/>
              <w:rPr>
                <w:rFonts w:ascii="Arial" w:eastAsia="Arial" w:hAnsi="Arial" w:cs="Arial"/>
                <w:sz w:val="18"/>
                <w:szCs w:val="18"/>
              </w:rPr>
            </w:pPr>
            <w:r>
              <w:rPr>
                <w:rFonts w:ascii="Arial" w:eastAsia="Arial" w:hAnsi="Arial" w:cs="Arial"/>
                <w:sz w:val="18"/>
                <w:szCs w:val="18"/>
              </w:rPr>
              <w:t>2</w:t>
            </w:r>
          </w:p>
        </w:tc>
        <w:tc>
          <w:tcPr>
            <w:tcW w:w="2760" w:type="dxa"/>
          </w:tcPr>
          <w:p w14:paraId="689BD34C" w14:textId="77777777" w:rsidR="00DE7B67" w:rsidRDefault="00044E47">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8"/>
                <w:szCs w:val="18"/>
              </w:rPr>
            </w:pPr>
            <w:r>
              <w:rPr>
                <w:rFonts w:ascii="Arial" w:eastAsia="Arial" w:hAnsi="Arial" w:cs="Arial"/>
                <w:b/>
                <w:sz w:val="18"/>
                <w:szCs w:val="18"/>
              </w:rPr>
              <w:t>Presuncional legal y humana</w:t>
            </w:r>
          </w:p>
        </w:tc>
        <w:tc>
          <w:tcPr>
            <w:tcW w:w="6480" w:type="dxa"/>
          </w:tcPr>
          <w:p w14:paraId="3D05FCA7" w14:textId="77777777" w:rsidR="00DE7B67" w:rsidRDefault="00044E47">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Todo lo que por su contenido y alcance favorezca a sus intereses.</w:t>
            </w:r>
          </w:p>
        </w:tc>
      </w:tr>
      <w:tr w:rsidR="00DE7B67" w14:paraId="01C83233" w14:textId="77777777" w:rsidTr="00DE7B6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495" w:type="dxa"/>
          </w:tcPr>
          <w:p w14:paraId="6CC26CD9" w14:textId="77777777" w:rsidR="00DE7B67" w:rsidRDefault="00044E47">
            <w:pPr>
              <w:jc w:val="center"/>
              <w:rPr>
                <w:rFonts w:ascii="Arial" w:eastAsia="Arial" w:hAnsi="Arial" w:cs="Arial"/>
                <w:sz w:val="18"/>
                <w:szCs w:val="18"/>
              </w:rPr>
            </w:pPr>
            <w:r>
              <w:rPr>
                <w:rFonts w:ascii="Arial" w:eastAsia="Arial" w:hAnsi="Arial" w:cs="Arial"/>
                <w:sz w:val="18"/>
                <w:szCs w:val="18"/>
              </w:rPr>
              <w:t>3</w:t>
            </w:r>
          </w:p>
        </w:tc>
        <w:tc>
          <w:tcPr>
            <w:tcW w:w="2760" w:type="dxa"/>
          </w:tcPr>
          <w:p w14:paraId="79D6BB56" w14:textId="77777777" w:rsidR="00DE7B67" w:rsidRDefault="00044E47">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8"/>
                <w:szCs w:val="18"/>
              </w:rPr>
            </w:pPr>
            <w:r>
              <w:rPr>
                <w:rFonts w:ascii="Arial" w:eastAsia="Arial" w:hAnsi="Arial" w:cs="Arial"/>
                <w:b/>
                <w:sz w:val="18"/>
                <w:szCs w:val="18"/>
              </w:rPr>
              <w:t xml:space="preserve">Instrumental de actuaciones  </w:t>
            </w:r>
          </w:p>
        </w:tc>
        <w:tc>
          <w:tcPr>
            <w:tcW w:w="6480" w:type="dxa"/>
          </w:tcPr>
          <w:p w14:paraId="3DDDD1D8" w14:textId="77777777" w:rsidR="00DE7B67" w:rsidRDefault="00044E47">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Todo lo que por su contenido y alcance favorezca a sus intereses.</w:t>
            </w:r>
          </w:p>
        </w:tc>
      </w:tr>
    </w:tbl>
    <w:p w14:paraId="783A8320" w14:textId="77777777" w:rsidR="00DE7B67" w:rsidRDefault="00DE7B67">
      <w:pPr>
        <w:pBdr>
          <w:top w:val="nil"/>
          <w:left w:val="nil"/>
          <w:bottom w:val="nil"/>
          <w:right w:val="nil"/>
          <w:between w:val="nil"/>
        </w:pBdr>
        <w:rPr>
          <w:color w:val="000000"/>
          <w:sz w:val="36"/>
          <w:szCs w:val="36"/>
        </w:rPr>
      </w:pPr>
    </w:p>
    <w:p w14:paraId="77C55018" w14:textId="77777777" w:rsidR="00DE7B67" w:rsidRDefault="00044E47">
      <w:pPr>
        <w:tabs>
          <w:tab w:val="left" w:pos="567"/>
        </w:tabs>
        <w:spacing w:line="360" w:lineRule="auto"/>
        <w:jc w:val="both"/>
        <w:rPr>
          <w:rFonts w:ascii="Arial" w:eastAsia="Arial" w:hAnsi="Arial" w:cs="Arial"/>
          <w:b/>
          <w:sz w:val="24"/>
          <w:szCs w:val="24"/>
        </w:rPr>
      </w:pPr>
      <w:r>
        <w:rPr>
          <w:rFonts w:ascii="Arial" w:eastAsia="Arial" w:hAnsi="Arial" w:cs="Arial"/>
          <w:b/>
          <w:sz w:val="24"/>
          <w:szCs w:val="24"/>
        </w:rPr>
        <w:t>3.3. Pruebas aportadas por la candidata y por el PAN:</w:t>
      </w:r>
    </w:p>
    <w:p w14:paraId="679EA805" w14:textId="77777777" w:rsidR="00DE7B67" w:rsidRDefault="00DE7B67">
      <w:pPr>
        <w:pBdr>
          <w:top w:val="nil"/>
          <w:left w:val="nil"/>
          <w:bottom w:val="nil"/>
          <w:right w:val="nil"/>
          <w:between w:val="nil"/>
        </w:pBdr>
        <w:rPr>
          <w:color w:val="000000"/>
        </w:rPr>
      </w:pPr>
    </w:p>
    <w:tbl>
      <w:tblPr>
        <w:tblStyle w:val="aff9"/>
        <w:tblW w:w="9720" w:type="dxa"/>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495"/>
        <w:gridCol w:w="2760"/>
        <w:gridCol w:w="6465"/>
      </w:tblGrid>
      <w:tr w:rsidR="00DE7B67" w14:paraId="76156324" w14:textId="77777777" w:rsidTr="00DE7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Pr>
          <w:p w14:paraId="4CA0B908" w14:textId="77777777" w:rsidR="00DE7B67" w:rsidRDefault="00044E47">
            <w:pPr>
              <w:jc w:val="center"/>
              <w:rPr>
                <w:rFonts w:ascii="Arial" w:eastAsia="Arial" w:hAnsi="Arial" w:cs="Arial"/>
                <w:color w:val="000000"/>
                <w:sz w:val="18"/>
                <w:szCs w:val="18"/>
              </w:rPr>
            </w:pPr>
            <w:r>
              <w:rPr>
                <w:rFonts w:ascii="Arial" w:eastAsia="Arial" w:hAnsi="Arial" w:cs="Arial"/>
                <w:color w:val="000000"/>
                <w:sz w:val="18"/>
                <w:szCs w:val="18"/>
              </w:rPr>
              <w:t>#</w:t>
            </w:r>
          </w:p>
        </w:tc>
        <w:tc>
          <w:tcPr>
            <w:tcW w:w="2760" w:type="dxa"/>
          </w:tcPr>
          <w:p w14:paraId="4CE7535A" w14:textId="77777777" w:rsidR="00DE7B67" w:rsidRDefault="00044E47">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Prueba</w:t>
            </w:r>
          </w:p>
        </w:tc>
        <w:tc>
          <w:tcPr>
            <w:tcW w:w="6465" w:type="dxa"/>
          </w:tcPr>
          <w:p w14:paraId="61758FAA" w14:textId="77777777" w:rsidR="00DE7B67" w:rsidRDefault="00044E47">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18"/>
                <w:szCs w:val="18"/>
              </w:rPr>
            </w:pPr>
            <w:r>
              <w:rPr>
                <w:rFonts w:ascii="Arial" w:eastAsia="Arial" w:hAnsi="Arial" w:cs="Arial"/>
                <w:color w:val="000000"/>
                <w:sz w:val="18"/>
                <w:szCs w:val="18"/>
              </w:rPr>
              <w:t>Consistente en</w:t>
            </w:r>
          </w:p>
        </w:tc>
      </w:tr>
      <w:tr w:rsidR="00DE7B67" w14:paraId="5A617216" w14:textId="77777777" w:rsidTr="00DE7B67">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495" w:type="dxa"/>
          </w:tcPr>
          <w:p w14:paraId="2D895BFB" w14:textId="77777777" w:rsidR="00DE7B67" w:rsidRDefault="00044E47">
            <w:pPr>
              <w:jc w:val="center"/>
              <w:rPr>
                <w:rFonts w:ascii="Arial" w:eastAsia="Arial" w:hAnsi="Arial" w:cs="Arial"/>
                <w:sz w:val="18"/>
                <w:szCs w:val="18"/>
              </w:rPr>
            </w:pPr>
            <w:r>
              <w:rPr>
                <w:rFonts w:ascii="Arial" w:eastAsia="Arial" w:hAnsi="Arial" w:cs="Arial"/>
                <w:sz w:val="18"/>
                <w:szCs w:val="18"/>
              </w:rPr>
              <w:t>1</w:t>
            </w:r>
          </w:p>
        </w:tc>
        <w:tc>
          <w:tcPr>
            <w:tcW w:w="2760" w:type="dxa"/>
          </w:tcPr>
          <w:p w14:paraId="099A886D" w14:textId="77777777" w:rsidR="00DE7B67" w:rsidRDefault="00044E47">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8"/>
                <w:szCs w:val="18"/>
              </w:rPr>
            </w:pPr>
            <w:proofErr w:type="gramStart"/>
            <w:r>
              <w:rPr>
                <w:rFonts w:ascii="Arial" w:eastAsia="Arial" w:hAnsi="Arial" w:cs="Arial"/>
                <w:b/>
                <w:sz w:val="18"/>
                <w:szCs w:val="18"/>
              </w:rPr>
              <w:t>Documental pública</w:t>
            </w:r>
            <w:proofErr w:type="gramEnd"/>
          </w:p>
        </w:tc>
        <w:tc>
          <w:tcPr>
            <w:tcW w:w="6465" w:type="dxa"/>
          </w:tcPr>
          <w:p w14:paraId="087061B8" w14:textId="77777777" w:rsidR="00DE7B67" w:rsidRDefault="00044E47">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Autos y contenido del procedimiento especial sancionador TEEA-PES-052/2022.</w:t>
            </w:r>
          </w:p>
        </w:tc>
      </w:tr>
      <w:tr w:rsidR="00DE7B67" w14:paraId="748503C5" w14:textId="77777777" w:rsidTr="00DE7B67">
        <w:trPr>
          <w:trHeight w:val="384"/>
        </w:trPr>
        <w:tc>
          <w:tcPr>
            <w:cnfStyle w:val="001000000000" w:firstRow="0" w:lastRow="0" w:firstColumn="1" w:lastColumn="0" w:oddVBand="0" w:evenVBand="0" w:oddHBand="0" w:evenHBand="0" w:firstRowFirstColumn="0" w:firstRowLastColumn="0" w:lastRowFirstColumn="0" w:lastRowLastColumn="0"/>
            <w:tcW w:w="495" w:type="dxa"/>
          </w:tcPr>
          <w:p w14:paraId="67629034" w14:textId="77777777" w:rsidR="00DE7B67" w:rsidRDefault="00044E47">
            <w:pPr>
              <w:jc w:val="center"/>
              <w:rPr>
                <w:rFonts w:ascii="Arial" w:eastAsia="Arial" w:hAnsi="Arial" w:cs="Arial"/>
                <w:sz w:val="18"/>
                <w:szCs w:val="18"/>
              </w:rPr>
            </w:pPr>
            <w:r>
              <w:rPr>
                <w:rFonts w:ascii="Arial" w:eastAsia="Arial" w:hAnsi="Arial" w:cs="Arial"/>
                <w:sz w:val="18"/>
                <w:szCs w:val="18"/>
              </w:rPr>
              <w:t>2</w:t>
            </w:r>
          </w:p>
        </w:tc>
        <w:tc>
          <w:tcPr>
            <w:tcW w:w="2760" w:type="dxa"/>
          </w:tcPr>
          <w:p w14:paraId="4B430F67" w14:textId="77777777" w:rsidR="00DE7B67" w:rsidRDefault="00044E47">
            <w:pPr>
              <w:cnfStyle w:val="000000000000" w:firstRow="0" w:lastRow="0" w:firstColumn="0" w:lastColumn="0" w:oddVBand="0" w:evenVBand="0" w:oddHBand="0" w:evenHBand="0" w:firstRowFirstColumn="0" w:firstRowLastColumn="0" w:lastRowFirstColumn="0" w:lastRowLastColumn="0"/>
              <w:rPr>
                <w:rFonts w:ascii="Arial" w:eastAsia="Arial" w:hAnsi="Arial" w:cs="Arial"/>
                <w:b/>
                <w:sz w:val="18"/>
                <w:szCs w:val="18"/>
              </w:rPr>
            </w:pPr>
            <w:r>
              <w:rPr>
                <w:rFonts w:ascii="Arial" w:eastAsia="Arial" w:hAnsi="Arial" w:cs="Arial"/>
                <w:b/>
                <w:sz w:val="18"/>
                <w:szCs w:val="18"/>
              </w:rPr>
              <w:t xml:space="preserve">Presuncional legal y humana </w:t>
            </w:r>
          </w:p>
        </w:tc>
        <w:tc>
          <w:tcPr>
            <w:tcW w:w="6465" w:type="dxa"/>
          </w:tcPr>
          <w:p w14:paraId="66B2CD90" w14:textId="77777777" w:rsidR="00DE7B67" w:rsidRDefault="00044E47">
            <w:pPr>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Todo lo que por su contenido y alcance favorezca a sus intereses.</w:t>
            </w:r>
          </w:p>
        </w:tc>
      </w:tr>
      <w:tr w:rsidR="00DE7B67" w14:paraId="3E37157F" w14:textId="77777777" w:rsidTr="00DE7B67">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495" w:type="dxa"/>
          </w:tcPr>
          <w:p w14:paraId="2DEEA370" w14:textId="77777777" w:rsidR="00DE7B67" w:rsidRDefault="00044E47">
            <w:pPr>
              <w:jc w:val="center"/>
              <w:rPr>
                <w:rFonts w:ascii="Arial" w:eastAsia="Arial" w:hAnsi="Arial" w:cs="Arial"/>
                <w:sz w:val="18"/>
                <w:szCs w:val="18"/>
              </w:rPr>
            </w:pPr>
            <w:r>
              <w:rPr>
                <w:rFonts w:ascii="Arial" w:eastAsia="Arial" w:hAnsi="Arial" w:cs="Arial"/>
                <w:sz w:val="18"/>
                <w:szCs w:val="18"/>
              </w:rPr>
              <w:t>3</w:t>
            </w:r>
          </w:p>
        </w:tc>
        <w:tc>
          <w:tcPr>
            <w:tcW w:w="2760" w:type="dxa"/>
          </w:tcPr>
          <w:p w14:paraId="3700D7BB" w14:textId="77777777" w:rsidR="00DE7B67" w:rsidRDefault="00044E47">
            <w:pPr>
              <w:cnfStyle w:val="000000100000" w:firstRow="0" w:lastRow="0" w:firstColumn="0" w:lastColumn="0" w:oddVBand="0" w:evenVBand="0" w:oddHBand="1" w:evenHBand="0" w:firstRowFirstColumn="0" w:firstRowLastColumn="0" w:lastRowFirstColumn="0" w:lastRowLastColumn="0"/>
              <w:rPr>
                <w:rFonts w:ascii="Arial" w:eastAsia="Arial" w:hAnsi="Arial" w:cs="Arial"/>
                <w:b/>
                <w:sz w:val="18"/>
                <w:szCs w:val="18"/>
              </w:rPr>
            </w:pPr>
            <w:r>
              <w:rPr>
                <w:rFonts w:ascii="Arial" w:eastAsia="Arial" w:hAnsi="Arial" w:cs="Arial"/>
                <w:b/>
                <w:sz w:val="18"/>
                <w:szCs w:val="18"/>
              </w:rPr>
              <w:t xml:space="preserve">Instrumental de actuaciones  </w:t>
            </w:r>
          </w:p>
        </w:tc>
        <w:tc>
          <w:tcPr>
            <w:tcW w:w="6465" w:type="dxa"/>
          </w:tcPr>
          <w:p w14:paraId="3660E4D2" w14:textId="77777777" w:rsidR="00DE7B67" w:rsidRDefault="00044E47">
            <w:pPr>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Todo lo que por su contenido y alcance favorezca a sus intereses.</w:t>
            </w:r>
          </w:p>
        </w:tc>
      </w:tr>
    </w:tbl>
    <w:p w14:paraId="62406E5E" w14:textId="77777777" w:rsidR="00DE7B67" w:rsidRDefault="00DE7B67">
      <w:pPr>
        <w:tabs>
          <w:tab w:val="left" w:pos="567"/>
        </w:tabs>
        <w:spacing w:line="360" w:lineRule="auto"/>
        <w:jc w:val="both"/>
        <w:rPr>
          <w:rFonts w:ascii="Arial" w:eastAsia="Arial" w:hAnsi="Arial" w:cs="Arial"/>
          <w:b/>
        </w:rPr>
      </w:pPr>
    </w:p>
    <w:p w14:paraId="5CD7060E" w14:textId="77777777" w:rsidR="00DE7B67" w:rsidRDefault="00044E47">
      <w:pPr>
        <w:pBdr>
          <w:top w:val="nil"/>
          <w:left w:val="nil"/>
          <w:bottom w:val="nil"/>
          <w:right w:val="nil"/>
          <w:between w:val="nil"/>
        </w:pBdr>
        <w:tabs>
          <w:tab w:val="left" w:pos="567"/>
        </w:tabs>
        <w:spacing w:line="360" w:lineRule="auto"/>
        <w:jc w:val="both"/>
        <w:rPr>
          <w:color w:val="000000"/>
        </w:rPr>
      </w:pPr>
      <w:r>
        <w:rPr>
          <w:rFonts w:ascii="Arial" w:eastAsia="Arial" w:hAnsi="Arial" w:cs="Arial"/>
          <w:b/>
          <w:color w:val="000000"/>
          <w:sz w:val="24"/>
          <w:szCs w:val="24"/>
        </w:rPr>
        <w:t xml:space="preserve">3.4. Valoración de pruebas. </w:t>
      </w:r>
      <w:r>
        <w:rPr>
          <w:rFonts w:ascii="Arial" w:eastAsia="Arial" w:hAnsi="Arial" w:cs="Arial"/>
          <w:color w:val="000000"/>
          <w:sz w:val="24"/>
          <w:szCs w:val="24"/>
        </w:rPr>
        <w:t xml:space="preserve">Las pruebas antes descritas, se valoran </w:t>
      </w:r>
      <w:r>
        <w:rPr>
          <w:rFonts w:ascii="Arial" w:eastAsia="Arial" w:hAnsi="Arial" w:cs="Arial"/>
          <w:sz w:val="24"/>
          <w:szCs w:val="24"/>
        </w:rPr>
        <w:t>conforme al</w:t>
      </w:r>
      <w:r>
        <w:rPr>
          <w:rFonts w:ascii="Arial" w:eastAsia="Arial" w:hAnsi="Arial" w:cs="Arial"/>
          <w:color w:val="000000"/>
          <w:sz w:val="24"/>
          <w:szCs w:val="24"/>
        </w:rPr>
        <w:t xml:space="preserve"> Código Electoral.</w:t>
      </w:r>
      <w:r>
        <w:rPr>
          <w:rFonts w:ascii="Arial" w:eastAsia="Arial" w:hAnsi="Arial" w:cs="Arial"/>
          <w:color w:val="000000"/>
          <w:sz w:val="24"/>
          <w:szCs w:val="24"/>
          <w:vertAlign w:val="superscript"/>
        </w:rPr>
        <w:t xml:space="preserve"> </w:t>
      </w:r>
      <w:r>
        <w:rPr>
          <w:rFonts w:ascii="Arial" w:eastAsia="Arial" w:hAnsi="Arial" w:cs="Arial"/>
          <w:color w:val="000000"/>
          <w:sz w:val="24"/>
          <w:szCs w:val="24"/>
          <w:vertAlign w:val="superscript"/>
        </w:rPr>
        <w:footnoteReference w:id="6"/>
      </w:r>
    </w:p>
    <w:p w14:paraId="4010353B" w14:textId="77777777" w:rsidR="00DE7B67" w:rsidRDefault="00DE7B67">
      <w:pPr>
        <w:pBdr>
          <w:top w:val="nil"/>
          <w:left w:val="nil"/>
          <w:bottom w:val="nil"/>
          <w:right w:val="nil"/>
          <w:between w:val="nil"/>
        </w:pBdr>
        <w:rPr>
          <w:color w:val="000000"/>
        </w:rPr>
      </w:pPr>
    </w:p>
    <w:p w14:paraId="48D6F2B9" w14:textId="77777777" w:rsidR="00DE7B67" w:rsidRDefault="00044E47">
      <w:pPr>
        <w:pBdr>
          <w:top w:val="nil"/>
          <w:left w:val="nil"/>
          <w:bottom w:val="nil"/>
          <w:right w:val="nil"/>
          <w:between w:val="nil"/>
        </w:pBdr>
        <w:tabs>
          <w:tab w:val="left" w:pos="426"/>
        </w:tabs>
        <w:spacing w:line="360" w:lineRule="auto"/>
        <w:ind w:right="36"/>
        <w:jc w:val="both"/>
        <w:rPr>
          <w:rFonts w:ascii="Arial" w:eastAsia="Arial" w:hAnsi="Arial" w:cs="Arial"/>
          <w:color w:val="000000"/>
          <w:sz w:val="24"/>
          <w:szCs w:val="24"/>
        </w:rPr>
      </w:pPr>
      <w:r>
        <w:rPr>
          <w:rFonts w:ascii="Arial" w:eastAsia="Arial" w:hAnsi="Arial" w:cs="Arial"/>
          <w:b/>
          <w:color w:val="000000"/>
          <w:sz w:val="24"/>
          <w:szCs w:val="24"/>
        </w:rPr>
        <w:t xml:space="preserve">4. Hechos acreditados. </w:t>
      </w:r>
      <w:r>
        <w:rPr>
          <w:rFonts w:ascii="Arial" w:eastAsia="Arial" w:hAnsi="Arial" w:cs="Arial"/>
          <w:color w:val="000000"/>
          <w:sz w:val="24"/>
          <w:szCs w:val="24"/>
        </w:rPr>
        <w:t>Los hechos relacionados con la controversia que han quedado acreditados, conforme a la relación de las pruebas, son los siguientes:</w:t>
      </w:r>
    </w:p>
    <w:p w14:paraId="792A7853" w14:textId="77777777" w:rsidR="00DE7B67" w:rsidRDefault="00DE7B67">
      <w:pPr>
        <w:pBdr>
          <w:top w:val="nil"/>
          <w:left w:val="nil"/>
          <w:bottom w:val="nil"/>
          <w:right w:val="nil"/>
          <w:between w:val="nil"/>
        </w:pBdr>
        <w:tabs>
          <w:tab w:val="left" w:pos="426"/>
        </w:tabs>
        <w:spacing w:line="360" w:lineRule="auto"/>
        <w:ind w:right="36"/>
        <w:jc w:val="both"/>
        <w:rPr>
          <w:rFonts w:ascii="Arial" w:eastAsia="Arial" w:hAnsi="Arial" w:cs="Arial"/>
          <w:color w:val="000000"/>
          <w:sz w:val="6"/>
          <w:szCs w:val="6"/>
        </w:rPr>
      </w:pPr>
    </w:p>
    <w:p w14:paraId="6D56EF2D" w14:textId="77777777" w:rsidR="00DE7B67" w:rsidRDefault="00044E47">
      <w:pPr>
        <w:numPr>
          <w:ilvl w:val="0"/>
          <w:numId w:val="5"/>
        </w:numPr>
        <w:pBdr>
          <w:top w:val="nil"/>
          <w:left w:val="nil"/>
          <w:bottom w:val="nil"/>
          <w:right w:val="nil"/>
          <w:between w:val="nil"/>
        </w:pBdr>
        <w:tabs>
          <w:tab w:val="left" w:pos="284"/>
        </w:tabs>
        <w:spacing w:line="360" w:lineRule="auto"/>
        <w:ind w:left="284" w:right="36" w:hanging="284"/>
        <w:jc w:val="both"/>
        <w:rPr>
          <w:color w:val="000000"/>
          <w:sz w:val="24"/>
          <w:szCs w:val="24"/>
        </w:rPr>
      </w:pPr>
      <w:r>
        <w:rPr>
          <w:rFonts w:ascii="Arial" w:eastAsia="Arial" w:hAnsi="Arial" w:cs="Arial"/>
          <w:color w:val="000000"/>
          <w:sz w:val="24"/>
          <w:szCs w:val="24"/>
        </w:rPr>
        <w:t>La inasistencia de la entonces candidata de la coalición “Va por Aguascalientes” a la gubernatura del estado, María Teresa Jiménez Esquivel, al segundo debate obligatorio organizado por el Instituto Local</w:t>
      </w:r>
      <w:r>
        <w:rPr>
          <w:rFonts w:ascii="Arial" w:eastAsia="Arial" w:hAnsi="Arial" w:cs="Arial"/>
          <w:sz w:val="24"/>
          <w:szCs w:val="24"/>
        </w:rPr>
        <w:t>.</w:t>
      </w:r>
    </w:p>
    <w:p w14:paraId="3B228842" w14:textId="77777777" w:rsidR="00DE7B67" w:rsidRDefault="00044E47">
      <w:pPr>
        <w:numPr>
          <w:ilvl w:val="0"/>
          <w:numId w:val="5"/>
        </w:numPr>
        <w:pBdr>
          <w:top w:val="nil"/>
          <w:left w:val="nil"/>
          <w:bottom w:val="nil"/>
          <w:right w:val="nil"/>
          <w:between w:val="nil"/>
        </w:pBdr>
        <w:tabs>
          <w:tab w:val="left" w:pos="284"/>
        </w:tabs>
        <w:spacing w:line="360" w:lineRule="auto"/>
        <w:ind w:left="284" w:right="36" w:hanging="284"/>
        <w:jc w:val="both"/>
        <w:rPr>
          <w:color w:val="000000"/>
          <w:sz w:val="24"/>
          <w:szCs w:val="24"/>
        </w:rPr>
      </w:pPr>
      <w:r>
        <w:rPr>
          <w:rFonts w:ascii="Arial" w:eastAsia="Arial" w:hAnsi="Arial" w:cs="Arial"/>
          <w:sz w:val="24"/>
          <w:szCs w:val="24"/>
        </w:rPr>
        <w:t>La existencia de la sentencia definitiva y firme del asunto (TEEA-PES-052/2022) resuelto por este órgano jurisdiccional, en la que se acreditó la infracción consistente en la falta de asistencia de la candidata cuestionada al segundo debate obligatorio y, por tanto, se le impuso la sanción correspondiente.</w:t>
      </w:r>
    </w:p>
    <w:p w14:paraId="36D23002" w14:textId="77777777" w:rsidR="00DE7B67" w:rsidRDefault="00DE7B67">
      <w:pPr>
        <w:pBdr>
          <w:top w:val="nil"/>
          <w:left w:val="nil"/>
          <w:bottom w:val="nil"/>
          <w:right w:val="nil"/>
          <w:between w:val="nil"/>
        </w:pBdr>
        <w:rPr>
          <w:color w:val="000000"/>
        </w:rPr>
      </w:pPr>
    </w:p>
    <w:p w14:paraId="38888303" w14:textId="77777777" w:rsidR="00DE7B67" w:rsidRDefault="00044E47">
      <w:pPr>
        <w:rPr>
          <w:rFonts w:ascii="Arial" w:eastAsia="Arial" w:hAnsi="Arial" w:cs="Arial"/>
          <w:b/>
          <w:sz w:val="24"/>
          <w:szCs w:val="24"/>
        </w:rPr>
      </w:pPr>
      <w:r>
        <w:rPr>
          <w:rFonts w:ascii="Arial" w:eastAsia="Arial" w:hAnsi="Arial" w:cs="Arial"/>
          <w:b/>
          <w:sz w:val="24"/>
          <w:szCs w:val="24"/>
        </w:rPr>
        <w:t>VI. Análisis de fondo</w:t>
      </w:r>
    </w:p>
    <w:p w14:paraId="6816CC19" w14:textId="77777777" w:rsidR="00DE7B67" w:rsidRDefault="00DE7B67">
      <w:pPr>
        <w:pBdr>
          <w:top w:val="nil"/>
          <w:left w:val="nil"/>
          <w:bottom w:val="nil"/>
          <w:right w:val="nil"/>
          <w:between w:val="nil"/>
        </w:pBdr>
        <w:rPr>
          <w:color w:val="000000"/>
          <w:sz w:val="14"/>
          <w:szCs w:val="14"/>
        </w:rPr>
      </w:pPr>
    </w:p>
    <w:p w14:paraId="4DA0DC42" w14:textId="77777777" w:rsidR="00DE7B67" w:rsidRDefault="00044E47">
      <w:pPr>
        <w:numPr>
          <w:ilvl w:val="0"/>
          <w:numId w:val="2"/>
        </w:numPr>
        <w:pBdr>
          <w:top w:val="nil"/>
          <w:left w:val="nil"/>
          <w:bottom w:val="nil"/>
          <w:right w:val="nil"/>
          <w:between w:val="nil"/>
        </w:pBdr>
        <w:tabs>
          <w:tab w:val="left" w:pos="426"/>
        </w:tabs>
        <w:spacing w:line="276" w:lineRule="auto"/>
        <w:ind w:left="0" w:right="36" w:firstLine="0"/>
        <w:jc w:val="both"/>
        <w:rPr>
          <w:b/>
          <w:color w:val="000000"/>
          <w:sz w:val="24"/>
          <w:szCs w:val="24"/>
        </w:rPr>
      </w:pPr>
      <w:r>
        <w:rPr>
          <w:rFonts w:ascii="Arial" w:eastAsia="Arial" w:hAnsi="Arial" w:cs="Arial"/>
          <w:b/>
          <w:color w:val="000000"/>
          <w:sz w:val="24"/>
          <w:szCs w:val="24"/>
        </w:rPr>
        <w:t xml:space="preserve">Planteamiento de la controversia. </w:t>
      </w:r>
      <w:r>
        <w:rPr>
          <w:rFonts w:ascii="Arial" w:eastAsia="Arial" w:hAnsi="Arial" w:cs="Arial"/>
          <w:color w:val="000000"/>
          <w:sz w:val="24"/>
          <w:szCs w:val="24"/>
        </w:rPr>
        <w:t>De conformidad con lo expuesto, este Tribunal considera que la controversia a definir consiste en determinar lo siguiente:</w:t>
      </w:r>
      <w:r>
        <w:rPr>
          <w:rFonts w:ascii="Arial" w:eastAsia="Arial" w:hAnsi="Arial" w:cs="Arial"/>
          <w:b/>
          <w:color w:val="000000"/>
          <w:sz w:val="24"/>
          <w:szCs w:val="24"/>
        </w:rPr>
        <w:t xml:space="preserve"> </w:t>
      </w:r>
    </w:p>
    <w:p w14:paraId="2F2EAF83" w14:textId="77777777" w:rsidR="00DE7B67" w:rsidRDefault="00DE7B67">
      <w:pPr>
        <w:pBdr>
          <w:top w:val="nil"/>
          <w:left w:val="nil"/>
          <w:bottom w:val="nil"/>
          <w:right w:val="nil"/>
          <w:between w:val="nil"/>
        </w:pBdr>
        <w:rPr>
          <w:color w:val="000000"/>
          <w:sz w:val="14"/>
          <w:szCs w:val="14"/>
        </w:rPr>
      </w:pPr>
    </w:p>
    <w:p w14:paraId="2D0FFEC5" w14:textId="77777777" w:rsidR="00DE7B67" w:rsidRDefault="00044E47">
      <w:pPr>
        <w:pBdr>
          <w:top w:val="nil"/>
          <w:left w:val="nil"/>
          <w:bottom w:val="nil"/>
          <w:right w:val="nil"/>
          <w:between w:val="nil"/>
        </w:pBdr>
        <w:tabs>
          <w:tab w:val="left" w:pos="426"/>
        </w:tabs>
        <w:spacing w:line="360" w:lineRule="auto"/>
        <w:ind w:right="36"/>
        <w:jc w:val="both"/>
        <w:rPr>
          <w:rFonts w:ascii="Arial" w:eastAsia="Arial" w:hAnsi="Arial" w:cs="Arial"/>
          <w:sz w:val="24"/>
          <w:szCs w:val="24"/>
        </w:rPr>
      </w:pPr>
      <w:r>
        <w:rPr>
          <w:rFonts w:ascii="Arial" w:eastAsia="Arial" w:hAnsi="Arial" w:cs="Arial"/>
          <w:b/>
          <w:i/>
          <w:sz w:val="24"/>
          <w:szCs w:val="24"/>
        </w:rPr>
        <w:lastRenderedPageBreak/>
        <w:t>i)</w:t>
      </w:r>
      <w:r>
        <w:rPr>
          <w:rFonts w:ascii="Arial" w:eastAsia="Arial" w:hAnsi="Arial" w:cs="Arial"/>
          <w:sz w:val="24"/>
          <w:szCs w:val="24"/>
        </w:rPr>
        <w:t xml:space="preserve"> ¿Si se actualiza la figura procesal de cosa juzgada -tal y como lo refiere la parte denunciada- en favor de la entonces candidata María Teresa Jiménez Esquivel, derivado de la sentencia firme y definitiva recaída en el asunto TEEA-PES-052/2022, en el cual se estudió la inasistencia de la denunciada al segundo debate obligatorio del Instituto Local?</w:t>
      </w:r>
    </w:p>
    <w:p w14:paraId="59AD9EA9" w14:textId="77777777" w:rsidR="00DE7B67" w:rsidRDefault="00DE7B67">
      <w:pPr>
        <w:pBdr>
          <w:top w:val="nil"/>
          <w:left w:val="nil"/>
          <w:bottom w:val="nil"/>
          <w:right w:val="nil"/>
          <w:between w:val="nil"/>
        </w:pBdr>
        <w:rPr>
          <w:color w:val="000000"/>
        </w:rPr>
      </w:pPr>
    </w:p>
    <w:p w14:paraId="74ACA417" w14:textId="77777777" w:rsidR="00DE7B67" w:rsidRDefault="00044E47">
      <w:pPr>
        <w:pBdr>
          <w:top w:val="nil"/>
          <w:left w:val="nil"/>
          <w:bottom w:val="nil"/>
          <w:right w:val="nil"/>
          <w:between w:val="nil"/>
        </w:pBdr>
        <w:tabs>
          <w:tab w:val="left" w:pos="426"/>
        </w:tabs>
        <w:spacing w:line="360" w:lineRule="auto"/>
        <w:ind w:right="36"/>
        <w:jc w:val="both"/>
        <w:rPr>
          <w:rFonts w:ascii="Arial" w:eastAsia="Arial" w:hAnsi="Arial" w:cs="Arial"/>
          <w:sz w:val="24"/>
          <w:szCs w:val="24"/>
        </w:rPr>
      </w:pPr>
      <w:proofErr w:type="spellStart"/>
      <w:r>
        <w:rPr>
          <w:rFonts w:ascii="Arial" w:eastAsia="Arial" w:hAnsi="Arial" w:cs="Arial"/>
          <w:b/>
          <w:i/>
          <w:sz w:val="24"/>
          <w:szCs w:val="24"/>
        </w:rPr>
        <w:t>ii</w:t>
      </w:r>
      <w:proofErr w:type="spellEnd"/>
      <w:r>
        <w:rPr>
          <w:rFonts w:ascii="Arial" w:eastAsia="Arial" w:hAnsi="Arial" w:cs="Arial"/>
          <w:b/>
          <w:i/>
          <w:sz w:val="24"/>
          <w:szCs w:val="24"/>
        </w:rPr>
        <w:t>)</w:t>
      </w:r>
      <w:r>
        <w:rPr>
          <w:rFonts w:ascii="Arial" w:eastAsia="Arial" w:hAnsi="Arial" w:cs="Arial"/>
          <w:sz w:val="24"/>
          <w:szCs w:val="24"/>
        </w:rPr>
        <w:t xml:space="preserve"> ¿Si el hecho de que en la materia de la controversia planteada en el diverso procedimiento sancionador no se haya abordado la posible responsabilidad de los partidos políticos integrantes de la coalición “Va por Aguascalientes” -PAN, PRI y PRD-, es un motivo suficiente para analizar por primera vez, su posible responsabilidad por la infracción de culpa </w:t>
      </w:r>
      <w:r>
        <w:rPr>
          <w:rFonts w:ascii="Arial" w:eastAsia="Arial" w:hAnsi="Arial" w:cs="Arial"/>
          <w:i/>
          <w:sz w:val="24"/>
          <w:szCs w:val="24"/>
        </w:rPr>
        <w:t>in vigilando</w:t>
      </w:r>
      <w:r>
        <w:rPr>
          <w:rFonts w:ascii="Arial" w:eastAsia="Arial" w:hAnsi="Arial" w:cs="Arial"/>
          <w:sz w:val="24"/>
          <w:szCs w:val="24"/>
        </w:rPr>
        <w:t>?</w:t>
      </w:r>
    </w:p>
    <w:p w14:paraId="37995A99" w14:textId="77777777" w:rsidR="00DE7B67" w:rsidRDefault="00DE7B67" w:rsidP="003D4D2E">
      <w:pPr>
        <w:pStyle w:val="Sinespaciado"/>
        <w:rPr>
          <w:rFonts w:eastAsia="Arial"/>
        </w:rPr>
      </w:pPr>
    </w:p>
    <w:p w14:paraId="113571B5" w14:textId="77777777" w:rsidR="00DE7B67" w:rsidRDefault="00044E47">
      <w:pPr>
        <w:pBdr>
          <w:top w:val="nil"/>
          <w:left w:val="nil"/>
          <w:bottom w:val="nil"/>
          <w:right w:val="nil"/>
          <w:between w:val="nil"/>
        </w:pBdr>
        <w:tabs>
          <w:tab w:val="left" w:pos="284"/>
        </w:tabs>
        <w:spacing w:line="360" w:lineRule="auto"/>
        <w:ind w:right="36"/>
        <w:jc w:val="both"/>
        <w:rPr>
          <w:rFonts w:ascii="Arial" w:eastAsia="Arial" w:hAnsi="Arial" w:cs="Arial"/>
          <w:b/>
          <w:sz w:val="24"/>
          <w:szCs w:val="24"/>
        </w:rPr>
      </w:pPr>
      <w:r>
        <w:rPr>
          <w:rFonts w:ascii="Arial" w:eastAsia="Arial" w:hAnsi="Arial" w:cs="Arial"/>
          <w:b/>
          <w:sz w:val="24"/>
          <w:szCs w:val="24"/>
          <w:u w:val="single"/>
        </w:rPr>
        <w:t>Aparatado I.</w:t>
      </w:r>
      <w:r>
        <w:rPr>
          <w:rFonts w:ascii="Arial" w:eastAsia="Arial" w:hAnsi="Arial" w:cs="Arial"/>
          <w:b/>
          <w:sz w:val="24"/>
          <w:szCs w:val="24"/>
        </w:rPr>
        <w:t xml:space="preserve"> Decisión. </w:t>
      </w:r>
    </w:p>
    <w:p w14:paraId="4A57EEB1" w14:textId="77777777" w:rsidR="00DE7B67" w:rsidRDefault="00DE7B67">
      <w:pPr>
        <w:pBdr>
          <w:top w:val="nil"/>
          <w:left w:val="nil"/>
          <w:bottom w:val="nil"/>
          <w:right w:val="nil"/>
          <w:between w:val="nil"/>
        </w:pBdr>
        <w:rPr>
          <w:color w:val="000000"/>
        </w:rPr>
      </w:pPr>
    </w:p>
    <w:p w14:paraId="2A6CD026" w14:textId="77777777" w:rsidR="00DE7B67" w:rsidRDefault="00044E47">
      <w:pPr>
        <w:pBdr>
          <w:top w:val="nil"/>
          <w:left w:val="nil"/>
          <w:bottom w:val="nil"/>
          <w:right w:val="nil"/>
          <w:between w:val="nil"/>
        </w:pBdr>
        <w:tabs>
          <w:tab w:val="left" w:pos="284"/>
        </w:tabs>
        <w:spacing w:line="360" w:lineRule="auto"/>
        <w:ind w:right="36"/>
        <w:jc w:val="both"/>
        <w:rPr>
          <w:rFonts w:ascii="Arial" w:eastAsia="Arial" w:hAnsi="Arial" w:cs="Arial"/>
          <w:sz w:val="24"/>
          <w:szCs w:val="24"/>
        </w:rPr>
      </w:pPr>
      <w:r>
        <w:rPr>
          <w:rFonts w:ascii="Arial" w:eastAsia="Arial" w:hAnsi="Arial" w:cs="Arial"/>
          <w:sz w:val="24"/>
          <w:szCs w:val="24"/>
        </w:rPr>
        <w:t>Este Tribunal Electoral considera que debe</w:t>
      </w:r>
      <w:r>
        <w:rPr>
          <w:rFonts w:ascii="Arial" w:eastAsia="Arial" w:hAnsi="Arial" w:cs="Arial"/>
          <w:b/>
          <w:sz w:val="24"/>
          <w:szCs w:val="24"/>
        </w:rPr>
        <w:t xml:space="preserve"> </w:t>
      </w:r>
      <w:r>
        <w:rPr>
          <w:rFonts w:ascii="Arial" w:eastAsia="Arial" w:hAnsi="Arial" w:cs="Arial"/>
          <w:sz w:val="24"/>
          <w:szCs w:val="24"/>
        </w:rPr>
        <w:t xml:space="preserve">declararse: </w:t>
      </w:r>
      <w:r>
        <w:rPr>
          <w:rFonts w:ascii="Arial" w:eastAsia="Arial" w:hAnsi="Arial" w:cs="Arial"/>
          <w:b/>
          <w:i/>
          <w:sz w:val="24"/>
          <w:szCs w:val="24"/>
        </w:rPr>
        <w:t xml:space="preserve">a) </w:t>
      </w:r>
      <w:r>
        <w:rPr>
          <w:rFonts w:ascii="Arial" w:eastAsia="Arial" w:hAnsi="Arial" w:cs="Arial"/>
          <w:sz w:val="24"/>
          <w:szCs w:val="24"/>
        </w:rPr>
        <w:t xml:space="preserve">la </w:t>
      </w:r>
      <w:r>
        <w:rPr>
          <w:rFonts w:ascii="Arial" w:eastAsia="Arial" w:hAnsi="Arial" w:cs="Arial"/>
          <w:b/>
          <w:sz w:val="24"/>
          <w:szCs w:val="24"/>
        </w:rPr>
        <w:t xml:space="preserve">inexistencia </w:t>
      </w:r>
      <w:r>
        <w:rPr>
          <w:rFonts w:ascii="Arial" w:eastAsia="Arial" w:hAnsi="Arial" w:cs="Arial"/>
          <w:sz w:val="24"/>
          <w:szCs w:val="24"/>
        </w:rPr>
        <w:t xml:space="preserve">de la infracción atribuida a la entonces candidata María Teresa Jiménez Esquivel, derivada de su inasistencia al segundo debate obligatorio del Instituto Local, en virtud de que se actualizó la eficacia refleja de la </w:t>
      </w:r>
      <w:r>
        <w:rPr>
          <w:rFonts w:ascii="Arial" w:eastAsia="Arial" w:hAnsi="Arial" w:cs="Arial"/>
          <w:b/>
          <w:sz w:val="24"/>
          <w:szCs w:val="24"/>
        </w:rPr>
        <w:t>cosa juzgada</w:t>
      </w:r>
      <w:r>
        <w:rPr>
          <w:rFonts w:ascii="Arial" w:eastAsia="Arial" w:hAnsi="Arial" w:cs="Arial"/>
          <w:sz w:val="24"/>
          <w:szCs w:val="24"/>
        </w:rPr>
        <w:t xml:space="preserve">. Ello, porque este órgano jurisdiccional considera que la conducta denunciada ya fue objeto de pronunciamiento en el procedimiento especial sancionador (TEEA-PES-052/2022), valorado por este órgano jurisdiccional, en el que su sentencia correspondiente, ha adquirido firmeza al no haber sido recurrida dentro los cuatro días posteriores a su emisión y, </w:t>
      </w:r>
      <w:r>
        <w:rPr>
          <w:rFonts w:ascii="Arial" w:eastAsia="Arial" w:hAnsi="Arial" w:cs="Arial"/>
          <w:b/>
          <w:i/>
          <w:sz w:val="24"/>
          <w:szCs w:val="24"/>
        </w:rPr>
        <w:t xml:space="preserve">b) </w:t>
      </w:r>
      <w:r>
        <w:rPr>
          <w:rFonts w:ascii="Arial" w:eastAsia="Arial" w:hAnsi="Arial" w:cs="Arial"/>
          <w:sz w:val="24"/>
          <w:szCs w:val="24"/>
        </w:rPr>
        <w:t xml:space="preserve">la </w:t>
      </w:r>
      <w:r>
        <w:rPr>
          <w:rFonts w:ascii="Arial" w:eastAsia="Arial" w:hAnsi="Arial" w:cs="Arial"/>
          <w:b/>
          <w:sz w:val="24"/>
          <w:szCs w:val="24"/>
        </w:rPr>
        <w:t xml:space="preserve">existencia </w:t>
      </w:r>
      <w:r>
        <w:rPr>
          <w:rFonts w:ascii="Arial" w:eastAsia="Arial" w:hAnsi="Arial" w:cs="Arial"/>
          <w:sz w:val="24"/>
          <w:szCs w:val="24"/>
        </w:rPr>
        <w:t xml:space="preserve">de </w:t>
      </w:r>
      <w:r>
        <w:rPr>
          <w:rFonts w:ascii="Arial" w:eastAsia="Arial" w:hAnsi="Arial" w:cs="Arial"/>
          <w:i/>
          <w:sz w:val="24"/>
          <w:szCs w:val="24"/>
        </w:rPr>
        <w:t>culpa</w:t>
      </w:r>
      <w:r>
        <w:rPr>
          <w:rFonts w:ascii="Arial" w:eastAsia="Arial" w:hAnsi="Arial" w:cs="Arial"/>
          <w:sz w:val="24"/>
          <w:szCs w:val="24"/>
        </w:rPr>
        <w:t xml:space="preserve"> </w:t>
      </w:r>
      <w:r>
        <w:rPr>
          <w:rFonts w:ascii="Arial" w:eastAsia="Arial" w:hAnsi="Arial" w:cs="Arial"/>
          <w:i/>
          <w:sz w:val="24"/>
          <w:szCs w:val="24"/>
        </w:rPr>
        <w:t>in vigilando</w:t>
      </w:r>
      <w:r>
        <w:rPr>
          <w:rFonts w:ascii="Arial" w:eastAsia="Arial" w:hAnsi="Arial" w:cs="Arial"/>
          <w:sz w:val="24"/>
          <w:szCs w:val="24"/>
        </w:rPr>
        <w:t xml:space="preserve"> a los institutos políticos PAN, PRI y PRD, dado que, al ser una cuestión novedosa planteada en la presente controversia y que por tanto, no se estudió en el asunto precisado con anterioridad, resulta reprochable su incumplimiento al deber de cuidado en relación a que su candidata se presentara al debate en comento.</w:t>
      </w:r>
    </w:p>
    <w:p w14:paraId="2D6B7EA8" w14:textId="77777777" w:rsidR="003D4D2E" w:rsidRDefault="003D4D2E" w:rsidP="003D4D2E">
      <w:pPr>
        <w:rPr>
          <w:rFonts w:eastAsia="Arial"/>
        </w:rPr>
      </w:pPr>
      <w:bookmarkStart w:id="4" w:name="_heading=h.ftg311rhf7pk" w:colFirst="0" w:colLast="0"/>
      <w:bookmarkEnd w:id="4"/>
    </w:p>
    <w:p w14:paraId="023C2BE4" w14:textId="7B1345D9" w:rsidR="00DE7B67" w:rsidRDefault="00044E47">
      <w:pPr>
        <w:spacing w:line="360" w:lineRule="auto"/>
        <w:jc w:val="both"/>
        <w:rPr>
          <w:rFonts w:ascii="Arial" w:eastAsia="Arial" w:hAnsi="Arial" w:cs="Arial"/>
          <w:b/>
          <w:sz w:val="24"/>
          <w:szCs w:val="24"/>
        </w:rPr>
      </w:pPr>
      <w:r>
        <w:rPr>
          <w:rFonts w:ascii="Arial" w:eastAsia="Arial" w:hAnsi="Arial" w:cs="Arial"/>
          <w:b/>
          <w:sz w:val="24"/>
          <w:szCs w:val="24"/>
          <w:u w:val="single"/>
        </w:rPr>
        <w:t>Aparatado II.</w:t>
      </w:r>
      <w:r>
        <w:rPr>
          <w:rFonts w:ascii="Arial" w:eastAsia="Arial" w:hAnsi="Arial" w:cs="Arial"/>
          <w:b/>
          <w:sz w:val="24"/>
          <w:szCs w:val="24"/>
        </w:rPr>
        <w:t xml:space="preserve"> Desarrollo y justificación de la decisión </w:t>
      </w:r>
    </w:p>
    <w:p w14:paraId="596C7A15" w14:textId="77777777" w:rsidR="00DE7B67" w:rsidRDefault="00DE7B67">
      <w:pPr>
        <w:pBdr>
          <w:top w:val="nil"/>
          <w:left w:val="nil"/>
          <w:bottom w:val="nil"/>
          <w:right w:val="nil"/>
          <w:between w:val="nil"/>
        </w:pBdr>
        <w:rPr>
          <w:color w:val="000000"/>
        </w:rPr>
      </w:pPr>
    </w:p>
    <w:p w14:paraId="31945093" w14:textId="77777777" w:rsidR="00DE7B67" w:rsidRDefault="00044E47">
      <w:pPr>
        <w:spacing w:line="360" w:lineRule="auto"/>
        <w:jc w:val="both"/>
        <w:rPr>
          <w:rFonts w:ascii="Arial" w:eastAsia="Arial" w:hAnsi="Arial" w:cs="Arial"/>
          <w:b/>
          <w:sz w:val="24"/>
          <w:szCs w:val="24"/>
        </w:rPr>
      </w:pPr>
      <w:r>
        <w:rPr>
          <w:rFonts w:ascii="Arial" w:eastAsia="Arial" w:hAnsi="Arial" w:cs="Arial"/>
          <w:b/>
          <w:sz w:val="24"/>
          <w:szCs w:val="24"/>
        </w:rPr>
        <w:t xml:space="preserve">1. Marco normativo </w:t>
      </w:r>
    </w:p>
    <w:p w14:paraId="21E3D2D3" w14:textId="77777777" w:rsidR="00DE7B67" w:rsidRDefault="00DE7B67">
      <w:pPr>
        <w:pBdr>
          <w:top w:val="nil"/>
          <w:left w:val="nil"/>
          <w:bottom w:val="nil"/>
          <w:right w:val="nil"/>
          <w:between w:val="nil"/>
        </w:pBdr>
        <w:rPr>
          <w:color w:val="000000"/>
        </w:rPr>
      </w:pPr>
    </w:p>
    <w:p w14:paraId="3C1B9DB4" w14:textId="77777777" w:rsidR="00DE7B67" w:rsidRDefault="00044E47">
      <w:pPr>
        <w:spacing w:line="360" w:lineRule="auto"/>
        <w:jc w:val="both"/>
        <w:rPr>
          <w:rFonts w:ascii="Arial" w:eastAsia="Arial" w:hAnsi="Arial" w:cs="Arial"/>
          <w:color w:val="000000"/>
          <w:sz w:val="24"/>
          <w:szCs w:val="24"/>
          <w:highlight w:val="yellow"/>
        </w:rPr>
      </w:pPr>
      <w:r>
        <w:rPr>
          <w:rFonts w:ascii="Arial" w:eastAsia="Arial" w:hAnsi="Arial" w:cs="Arial"/>
          <w:color w:val="000000"/>
          <w:sz w:val="24"/>
          <w:szCs w:val="24"/>
        </w:rPr>
        <w:t xml:space="preserve">La Sala Superior sostuvo que a fin </w:t>
      </w:r>
      <w:r>
        <w:rPr>
          <w:rFonts w:ascii="Arial" w:eastAsia="Arial" w:hAnsi="Arial" w:cs="Arial"/>
          <w:sz w:val="24"/>
          <w:szCs w:val="24"/>
        </w:rPr>
        <w:t>de que se actualice</w:t>
      </w:r>
      <w:r>
        <w:rPr>
          <w:rFonts w:ascii="Arial" w:eastAsia="Arial" w:hAnsi="Arial" w:cs="Arial"/>
          <w:color w:val="000000"/>
          <w:sz w:val="24"/>
          <w:szCs w:val="24"/>
        </w:rPr>
        <w:t xml:space="preserve"> en un asunto, la figura procesal de la cosa juzgada es necesaria la actualización de dos elementos, al considerar que la </w:t>
      </w:r>
      <w:r>
        <w:rPr>
          <w:rFonts w:ascii="Arial" w:eastAsia="Arial" w:hAnsi="Arial" w:cs="Arial"/>
          <w:sz w:val="24"/>
          <w:szCs w:val="24"/>
        </w:rPr>
        <w:t>cosa</w:t>
      </w:r>
      <w:r>
        <w:rPr>
          <w:rFonts w:ascii="Arial" w:eastAsia="Arial" w:hAnsi="Arial" w:cs="Arial"/>
          <w:color w:val="000000"/>
          <w:sz w:val="24"/>
          <w:szCs w:val="24"/>
        </w:rPr>
        <w:t xml:space="preserve"> juzgada puede tener </w:t>
      </w:r>
      <w:r>
        <w:rPr>
          <w:rFonts w:ascii="Arial" w:eastAsia="Arial" w:hAnsi="Arial" w:cs="Arial"/>
          <w:b/>
          <w:color w:val="000000"/>
          <w:sz w:val="24"/>
          <w:szCs w:val="24"/>
        </w:rPr>
        <w:t xml:space="preserve">eficacia directa </w:t>
      </w:r>
      <w:r>
        <w:rPr>
          <w:rFonts w:ascii="Arial" w:eastAsia="Arial" w:hAnsi="Arial" w:cs="Arial"/>
          <w:color w:val="000000"/>
          <w:sz w:val="24"/>
          <w:szCs w:val="24"/>
        </w:rPr>
        <w:t xml:space="preserve">o </w:t>
      </w:r>
      <w:r>
        <w:rPr>
          <w:rFonts w:ascii="Arial" w:eastAsia="Arial" w:hAnsi="Arial" w:cs="Arial"/>
          <w:b/>
          <w:color w:val="000000"/>
          <w:sz w:val="24"/>
          <w:szCs w:val="24"/>
        </w:rPr>
        <w:t>eficacia refleja</w:t>
      </w:r>
      <w:r>
        <w:rPr>
          <w:rFonts w:ascii="Arial" w:eastAsia="Arial" w:hAnsi="Arial" w:cs="Arial"/>
          <w:color w:val="000000"/>
          <w:sz w:val="24"/>
          <w:szCs w:val="24"/>
        </w:rPr>
        <w:t>. La primera surge cuando los sujetos, objeto y causa de la nueva controversia son los mismos del segundo o juicio posterior, en cuyo caso la materia del segundo asunto queda plenamente acreditada con el fallo del primero.</w:t>
      </w:r>
      <w:r>
        <w:rPr>
          <w:rFonts w:ascii="Arial" w:eastAsia="Arial" w:hAnsi="Arial" w:cs="Arial"/>
          <w:color w:val="000000"/>
          <w:sz w:val="24"/>
          <w:szCs w:val="24"/>
          <w:vertAlign w:val="superscript"/>
        </w:rPr>
        <w:footnoteReference w:id="7"/>
      </w:r>
      <w:r>
        <w:rPr>
          <w:rFonts w:ascii="Arial" w:eastAsia="Arial" w:hAnsi="Arial" w:cs="Arial"/>
          <w:color w:val="000000"/>
          <w:sz w:val="24"/>
          <w:szCs w:val="24"/>
        </w:rPr>
        <w:t xml:space="preserve">  </w:t>
      </w:r>
    </w:p>
    <w:p w14:paraId="0A7DCCF3" w14:textId="77777777" w:rsidR="00DE7B67" w:rsidRDefault="00DE7B67">
      <w:pPr>
        <w:pBdr>
          <w:top w:val="nil"/>
          <w:left w:val="nil"/>
          <w:bottom w:val="nil"/>
          <w:right w:val="nil"/>
          <w:between w:val="nil"/>
        </w:pBdr>
        <w:rPr>
          <w:color w:val="000000"/>
        </w:rPr>
      </w:pPr>
    </w:p>
    <w:p w14:paraId="172C2F7E" w14:textId="77777777" w:rsidR="00DE7B67" w:rsidRDefault="00044E47">
      <w:pPr>
        <w:spacing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Por otra parte, la segunda (eficacia refleja) existe cuando, a pesar de que no existe plena identidad de los elementos antes precisados, entre dos o más litigios, se actualiza, no obstante, la identidad en lo sustancial o dependencia jurídica entre ambos asuntos, por tener una misma causa, situación que implica que el efecto de lo decidido en </w:t>
      </w:r>
      <w:r>
        <w:rPr>
          <w:rFonts w:ascii="Arial" w:eastAsia="Arial" w:hAnsi="Arial" w:cs="Arial"/>
          <w:sz w:val="24"/>
          <w:szCs w:val="24"/>
        </w:rPr>
        <w:t>el primer</w:t>
      </w:r>
      <w:r>
        <w:rPr>
          <w:rFonts w:ascii="Arial" w:eastAsia="Arial" w:hAnsi="Arial" w:cs="Arial"/>
          <w:color w:val="000000"/>
          <w:sz w:val="24"/>
          <w:szCs w:val="24"/>
        </w:rPr>
        <w:t xml:space="preserve"> juicio se refleja en el segundo o posterior, de tal manera que las partes del nuevo juicio quedan vinculadas, de forma ineludible con lo </w:t>
      </w:r>
      <w:r>
        <w:rPr>
          <w:rFonts w:ascii="Arial" w:eastAsia="Arial" w:hAnsi="Arial" w:cs="Arial"/>
          <w:sz w:val="24"/>
          <w:szCs w:val="24"/>
        </w:rPr>
        <w:t>resuelto</w:t>
      </w:r>
      <w:r>
        <w:rPr>
          <w:rFonts w:ascii="Arial" w:eastAsia="Arial" w:hAnsi="Arial" w:cs="Arial"/>
          <w:color w:val="000000"/>
          <w:sz w:val="24"/>
          <w:szCs w:val="24"/>
        </w:rPr>
        <w:t xml:space="preserve"> en la primera ejecutoria. </w:t>
      </w:r>
    </w:p>
    <w:p w14:paraId="1526A481" w14:textId="77777777" w:rsidR="00DE7B67" w:rsidRDefault="00DE7B67">
      <w:pPr>
        <w:pBdr>
          <w:top w:val="nil"/>
          <w:left w:val="nil"/>
          <w:bottom w:val="nil"/>
          <w:right w:val="nil"/>
          <w:between w:val="nil"/>
        </w:pBdr>
        <w:rPr>
          <w:color w:val="000000"/>
        </w:rPr>
      </w:pPr>
    </w:p>
    <w:p w14:paraId="0681B764" w14:textId="77777777" w:rsidR="00DE7B67" w:rsidRDefault="00044E47">
      <w:pPr>
        <w:spacing w:line="360" w:lineRule="auto"/>
        <w:jc w:val="both"/>
        <w:rPr>
          <w:rFonts w:ascii="Arial" w:eastAsia="Arial" w:hAnsi="Arial" w:cs="Arial"/>
          <w:color w:val="000000"/>
          <w:sz w:val="24"/>
          <w:szCs w:val="24"/>
          <w:highlight w:val="white"/>
        </w:rPr>
      </w:pPr>
      <w:r>
        <w:rPr>
          <w:rFonts w:ascii="Arial" w:eastAsia="Arial" w:hAnsi="Arial" w:cs="Arial"/>
          <w:color w:val="000000"/>
          <w:sz w:val="24"/>
          <w:szCs w:val="24"/>
        </w:rPr>
        <w:t>Al respecto, tal órgano jurisdiccional sostuvo que la autoridad resolutora debe advertir la concurrencia de las condiciones siguientes:</w:t>
      </w:r>
      <w:r>
        <w:rPr>
          <w:rFonts w:ascii="Arial" w:eastAsia="Arial" w:hAnsi="Arial" w:cs="Arial"/>
          <w:sz w:val="24"/>
          <w:szCs w:val="24"/>
        </w:rPr>
        <w:t xml:space="preserve"> </w:t>
      </w:r>
      <w:r>
        <w:rPr>
          <w:rFonts w:ascii="Arial" w:eastAsia="Arial" w:hAnsi="Arial" w:cs="Arial"/>
          <w:b/>
          <w:i/>
          <w:color w:val="000000"/>
          <w:sz w:val="24"/>
          <w:szCs w:val="24"/>
          <w:highlight w:val="white"/>
        </w:rPr>
        <w:t>a)</w:t>
      </w:r>
      <w:r>
        <w:rPr>
          <w:rFonts w:ascii="Arial" w:eastAsia="Arial" w:hAnsi="Arial" w:cs="Arial"/>
          <w:color w:val="000000"/>
          <w:sz w:val="24"/>
          <w:szCs w:val="24"/>
          <w:highlight w:val="white"/>
        </w:rPr>
        <w:t> la existencia de un proceso resuelto previamente;</w:t>
      </w:r>
      <w:r>
        <w:rPr>
          <w:rFonts w:ascii="Arial" w:eastAsia="Arial" w:hAnsi="Arial" w:cs="Arial"/>
          <w:b/>
          <w:color w:val="000000"/>
          <w:sz w:val="24"/>
          <w:szCs w:val="24"/>
          <w:highlight w:val="white"/>
        </w:rPr>
        <w:t> </w:t>
      </w:r>
      <w:r>
        <w:rPr>
          <w:rFonts w:ascii="Arial" w:eastAsia="Arial" w:hAnsi="Arial" w:cs="Arial"/>
          <w:b/>
          <w:i/>
          <w:color w:val="000000"/>
          <w:sz w:val="24"/>
          <w:szCs w:val="24"/>
          <w:highlight w:val="white"/>
        </w:rPr>
        <w:t>b)</w:t>
      </w:r>
      <w:r>
        <w:rPr>
          <w:rFonts w:ascii="Arial" w:eastAsia="Arial" w:hAnsi="Arial" w:cs="Arial"/>
          <w:color w:val="000000"/>
          <w:sz w:val="24"/>
          <w:szCs w:val="24"/>
          <w:highlight w:val="white"/>
        </w:rPr>
        <w:t> la existencia de otro proceso en trámite; </w:t>
      </w:r>
      <w:r>
        <w:rPr>
          <w:rFonts w:ascii="Arial" w:eastAsia="Arial" w:hAnsi="Arial" w:cs="Arial"/>
          <w:b/>
          <w:i/>
          <w:color w:val="000000"/>
          <w:sz w:val="24"/>
          <w:szCs w:val="24"/>
          <w:highlight w:val="white"/>
        </w:rPr>
        <w:t>c)</w:t>
      </w:r>
      <w:r>
        <w:rPr>
          <w:rFonts w:ascii="Arial" w:eastAsia="Arial" w:hAnsi="Arial" w:cs="Arial"/>
          <w:color w:val="000000"/>
          <w:sz w:val="24"/>
          <w:szCs w:val="24"/>
          <w:highlight w:val="white"/>
        </w:rPr>
        <w:t> que los objetos de ambos procedimientos sean conexos, es decir, estar estrechamente vinculados o tener relación sustancial de interdependencia, a grado tal, que se produzca la posibilidad de fallos contradictorios; </w:t>
      </w:r>
      <w:r>
        <w:rPr>
          <w:rFonts w:ascii="Arial" w:eastAsia="Arial" w:hAnsi="Arial" w:cs="Arial"/>
          <w:b/>
          <w:i/>
          <w:color w:val="000000"/>
          <w:sz w:val="24"/>
          <w:szCs w:val="24"/>
          <w:highlight w:val="white"/>
        </w:rPr>
        <w:t>d)</w:t>
      </w:r>
      <w:r>
        <w:rPr>
          <w:rFonts w:ascii="Arial" w:eastAsia="Arial" w:hAnsi="Arial" w:cs="Arial"/>
          <w:color w:val="000000"/>
          <w:sz w:val="24"/>
          <w:szCs w:val="24"/>
          <w:highlight w:val="white"/>
        </w:rPr>
        <w:t> que las partes del segundo hayan quedado obligadas con la ejecutoria del primero; </w:t>
      </w:r>
      <w:r>
        <w:rPr>
          <w:rFonts w:ascii="Arial" w:eastAsia="Arial" w:hAnsi="Arial" w:cs="Arial"/>
          <w:b/>
          <w:i/>
          <w:color w:val="000000"/>
          <w:sz w:val="24"/>
          <w:szCs w:val="24"/>
          <w:highlight w:val="white"/>
        </w:rPr>
        <w:t>e)</w:t>
      </w:r>
      <w:r>
        <w:rPr>
          <w:rFonts w:ascii="Arial" w:eastAsia="Arial" w:hAnsi="Arial" w:cs="Arial"/>
          <w:color w:val="000000"/>
          <w:sz w:val="24"/>
          <w:szCs w:val="24"/>
          <w:highlight w:val="white"/>
        </w:rPr>
        <w:t> en ambos debe presentarse un hecho o situación que sea un elemento o presupuesto lógico necesario para sustentar el sentido de la decisión del litigio; </w:t>
      </w:r>
      <w:r>
        <w:rPr>
          <w:rFonts w:ascii="Arial" w:eastAsia="Arial" w:hAnsi="Arial" w:cs="Arial"/>
          <w:b/>
          <w:i/>
          <w:color w:val="000000"/>
          <w:sz w:val="24"/>
          <w:szCs w:val="24"/>
          <w:highlight w:val="white"/>
        </w:rPr>
        <w:t>f)</w:t>
      </w:r>
      <w:r>
        <w:rPr>
          <w:rFonts w:ascii="Arial" w:eastAsia="Arial" w:hAnsi="Arial" w:cs="Arial"/>
          <w:i/>
          <w:color w:val="000000"/>
          <w:sz w:val="24"/>
          <w:szCs w:val="24"/>
          <w:highlight w:val="white"/>
        </w:rPr>
        <w:t> </w:t>
      </w:r>
      <w:r>
        <w:rPr>
          <w:rFonts w:ascii="Arial" w:eastAsia="Arial" w:hAnsi="Arial" w:cs="Arial"/>
          <w:color w:val="000000"/>
          <w:sz w:val="24"/>
          <w:szCs w:val="24"/>
          <w:highlight w:val="white"/>
        </w:rPr>
        <w:t>que en la sentencia previa se sustente un criterio preciso, claro e indubitable sobre ese elemento o presupuesto lógico; </w:t>
      </w:r>
      <w:r>
        <w:rPr>
          <w:rFonts w:ascii="Arial" w:eastAsia="Arial" w:hAnsi="Arial" w:cs="Arial"/>
          <w:b/>
          <w:i/>
          <w:color w:val="000000"/>
          <w:sz w:val="24"/>
          <w:szCs w:val="24"/>
          <w:highlight w:val="white"/>
        </w:rPr>
        <w:t>g)</w:t>
      </w:r>
      <w:r>
        <w:rPr>
          <w:rFonts w:ascii="Arial" w:eastAsia="Arial" w:hAnsi="Arial" w:cs="Arial"/>
          <w:color w:val="000000"/>
          <w:sz w:val="24"/>
          <w:szCs w:val="24"/>
          <w:highlight w:val="white"/>
        </w:rPr>
        <w:t> que para la solución del segundo juicio requiera asumir también un criterio sobre el elemento o presupuesto lógico-común, por ser indispensable para apoyar lo fallado.</w:t>
      </w:r>
    </w:p>
    <w:p w14:paraId="39653897" w14:textId="77777777" w:rsidR="00DE7B67" w:rsidRDefault="00DE7B67">
      <w:pPr>
        <w:pBdr>
          <w:top w:val="nil"/>
          <w:left w:val="nil"/>
          <w:bottom w:val="nil"/>
          <w:right w:val="nil"/>
          <w:between w:val="nil"/>
        </w:pBdr>
        <w:rPr>
          <w:color w:val="000000"/>
          <w:highlight w:val="white"/>
        </w:rPr>
      </w:pPr>
    </w:p>
    <w:p w14:paraId="7B38DAB5" w14:textId="77777777" w:rsidR="00DE7B67" w:rsidRDefault="00044E47">
      <w:pPr>
        <w:spacing w:line="360" w:lineRule="auto"/>
        <w:jc w:val="both"/>
        <w:rPr>
          <w:rFonts w:ascii="Arial" w:eastAsia="Arial" w:hAnsi="Arial" w:cs="Arial"/>
          <w:color w:val="000000"/>
          <w:sz w:val="24"/>
          <w:szCs w:val="24"/>
        </w:rPr>
      </w:pPr>
      <w:r>
        <w:rPr>
          <w:rFonts w:ascii="Arial" w:eastAsia="Arial" w:hAnsi="Arial" w:cs="Arial"/>
          <w:color w:val="000000"/>
          <w:sz w:val="24"/>
          <w:szCs w:val="24"/>
          <w:highlight w:val="white"/>
        </w:rPr>
        <w:t xml:space="preserve">Asimismo, como parte de la evolución de tal criterio, a partir de la tesis I/2021, la Sala Superior consideró que además de los elementos abordados al principio del presente apartado -identidad de personas, cosas y causas- también debía atenderse un cuarto elemento, consistente en que la primera sentencia haya analizado el fondo de las pretensiones </w:t>
      </w:r>
      <w:r>
        <w:rPr>
          <w:rFonts w:ascii="Arial" w:eastAsia="Arial" w:hAnsi="Arial" w:cs="Arial"/>
          <w:sz w:val="24"/>
          <w:szCs w:val="24"/>
          <w:highlight w:val="white"/>
        </w:rPr>
        <w:t>hechas</w:t>
      </w:r>
      <w:r>
        <w:rPr>
          <w:rFonts w:ascii="Arial" w:eastAsia="Arial" w:hAnsi="Arial" w:cs="Arial"/>
          <w:color w:val="000000"/>
          <w:sz w:val="24"/>
          <w:szCs w:val="24"/>
          <w:highlight w:val="white"/>
        </w:rPr>
        <w:t xml:space="preserve"> valer por la parte recurrente, pues de los contrario, se incurre en una denegación de justicia, al no dar oportunidad de que lo demandado sea resuelto en alguna instancia, en tanto que la existencia de una sentencia presume que fueron cumplidas todas las formalidades esenciales del procedimiento y concluye con una verdad legal que ya no es susceptible de discusión.</w:t>
      </w:r>
    </w:p>
    <w:p w14:paraId="4F2B5A7F" w14:textId="77777777" w:rsidR="00DE7B67" w:rsidRDefault="00044E47">
      <w:pPr>
        <w:spacing w:before="240" w:after="240"/>
        <w:rPr>
          <w:rFonts w:ascii="Arial" w:eastAsia="Arial" w:hAnsi="Arial" w:cs="Arial"/>
          <w:b/>
          <w:color w:val="000000"/>
          <w:sz w:val="24"/>
          <w:szCs w:val="24"/>
        </w:rPr>
      </w:pPr>
      <w:r>
        <w:rPr>
          <w:rFonts w:ascii="Arial" w:eastAsia="Arial" w:hAnsi="Arial" w:cs="Arial"/>
          <w:b/>
          <w:color w:val="000000"/>
          <w:sz w:val="24"/>
          <w:szCs w:val="24"/>
        </w:rPr>
        <w:t>2. Caso Concreto</w:t>
      </w:r>
    </w:p>
    <w:p w14:paraId="4D3BA702" w14:textId="77777777" w:rsidR="00DE7B67" w:rsidRDefault="00044E47">
      <w:pPr>
        <w:spacing w:line="360" w:lineRule="auto"/>
        <w:jc w:val="both"/>
        <w:rPr>
          <w:rFonts w:ascii="Arial" w:eastAsia="Arial" w:hAnsi="Arial" w:cs="Arial"/>
          <w:sz w:val="24"/>
          <w:szCs w:val="24"/>
        </w:rPr>
      </w:pPr>
      <w:r>
        <w:rPr>
          <w:rFonts w:ascii="Arial" w:eastAsia="Arial" w:hAnsi="Arial" w:cs="Arial"/>
          <w:sz w:val="24"/>
          <w:szCs w:val="24"/>
        </w:rPr>
        <w:t xml:space="preserve">El PVEM y Morena, en el contexto del proceso electoral 2021-2022 en el que se renovó la gubernatura de Aguascalientes, presentaron, respectivamente, quejas ante el Instituto Local en contra de: </w:t>
      </w:r>
      <w:r>
        <w:rPr>
          <w:rFonts w:ascii="Arial" w:eastAsia="Arial" w:hAnsi="Arial" w:cs="Arial"/>
          <w:b/>
          <w:i/>
          <w:sz w:val="24"/>
          <w:szCs w:val="24"/>
        </w:rPr>
        <w:t>i)</w:t>
      </w:r>
      <w:r>
        <w:rPr>
          <w:rFonts w:ascii="Arial" w:eastAsia="Arial" w:hAnsi="Arial" w:cs="Arial"/>
          <w:sz w:val="24"/>
          <w:szCs w:val="24"/>
        </w:rPr>
        <w:t xml:space="preserve"> María Teresa Jiménez Esquivel, en su calidad de entonces candidata a la gubernatura del estado, postulada por la coalición “Va por Aguascalientes”, derivado de su inasistencia al segundo debate obligatorio convocado por el Instituto Local, y de; </w:t>
      </w:r>
      <w:proofErr w:type="spellStart"/>
      <w:r>
        <w:rPr>
          <w:rFonts w:ascii="Arial" w:eastAsia="Arial" w:hAnsi="Arial" w:cs="Arial"/>
          <w:b/>
          <w:i/>
          <w:sz w:val="24"/>
          <w:szCs w:val="24"/>
        </w:rPr>
        <w:t>ii</w:t>
      </w:r>
      <w:proofErr w:type="spellEnd"/>
      <w:r>
        <w:rPr>
          <w:rFonts w:ascii="Arial" w:eastAsia="Arial" w:hAnsi="Arial" w:cs="Arial"/>
          <w:b/>
          <w:i/>
          <w:sz w:val="24"/>
          <w:szCs w:val="24"/>
        </w:rPr>
        <w:t>)</w:t>
      </w:r>
      <w:r>
        <w:rPr>
          <w:rFonts w:ascii="Arial" w:eastAsia="Arial" w:hAnsi="Arial" w:cs="Arial"/>
          <w:sz w:val="24"/>
          <w:szCs w:val="24"/>
        </w:rPr>
        <w:t xml:space="preserve"> los integrantes de la coalición en comento -PAN, PRI y PRD-,  por culpa </w:t>
      </w:r>
      <w:r>
        <w:rPr>
          <w:rFonts w:ascii="Arial" w:eastAsia="Arial" w:hAnsi="Arial" w:cs="Arial"/>
          <w:i/>
          <w:sz w:val="24"/>
          <w:szCs w:val="24"/>
        </w:rPr>
        <w:t>in vigilando</w:t>
      </w:r>
      <w:r>
        <w:rPr>
          <w:rFonts w:ascii="Arial" w:eastAsia="Arial" w:hAnsi="Arial" w:cs="Arial"/>
          <w:sz w:val="24"/>
          <w:szCs w:val="24"/>
        </w:rPr>
        <w:t xml:space="preserve">. </w:t>
      </w:r>
    </w:p>
    <w:p w14:paraId="0482CEA6" w14:textId="77777777" w:rsidR="00DE7B67" w:rsidRDefault="00DE7B67">
      <w:pPr>
        <w:pBdr>
          <w:top w:val="nil"/>
          <w:left w:val="nil"/>
          <w:bottom w:val="nil"/>
          <w:right w:val="nil"/>
          <w:between w:val="nil"/>
        </w:pBdr>
        <w:rPr>
          <w:color w:val="000000"/>
        </w:rPr>
      </w:pPr>
    </w:p>
    <w:p w14:paraId="293E5E65" w14:textId="77777777" w:rsidR="00DE7B67" w:rsidRDefault="00044E47">
      <w:pPr>
        <w:pBdr>
          <w:top w:val="nil"/>
          <w:left w:val="nil"/>
          <w:bottom w:val="nil"/>
          <w:right w:val="nil"/>
          <w:between w:val="nil"/>
        </w:pBdr>
        <w:tabs>
          <w:tab w:val="left" w:pos="426"/>
        </w:tabs>
        <w:spacing w:line="360" w:lineRule="auto"/>
        <w:ind w:right="36"/>
        <w:jc w:val="both"/>
        <w:rPr>
          <w:rFonts w:ascii="Arial" w:eastAsia="Arial" w:hAnsi="Arial" w:cs="Arial"/>
          <w:b/>
          <w:sz w:val="24"/>
          <w:szCs w:val="24"/>
        </w:rPr>
      </w:pPr>
      <w:r>
        <w:rPr>
          <w:rFonts w:ascii="Arial" w:eastAsia="Arial" w:hAnsi="Arial" w:cs="Arial"/>
          <w:b/>
          <w:sz w:val="24"/>
          <w:szCs w:val="24"/>
        </w:rPr>
        <w:t xml:space="preserve">3. Valoración </w:t>
      </w:r>
    </w:p>
    <w:p w14:paraId="58B802FC" w14:textId="77777777" w:rsidR="00DE7B67" w:rsidRDefault="00DE7B67">
      <w:pPr>
        <w:pBdr>
          <w:top w:val="nil"/>
          <w:left w:val="nil"/>
          <w:bottom w:val="nil"/>
          <w:right w:val="nil"/>
          <w:between w:val="nil"/>
        </w:pBdr>
        <w:rPr>
          <w:color w:val="000000"/>
        </w:rPr>
      </w:pPr>
    </w:p>
    <w:p w14:paraId="26576387" w14:textId="77777777" w:rsidR="00DE7B67" w:rsidRDefault="00044E47">
      <w:pP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Este Tribunal Electoral considera que, a partir de los planteamientos expuestos por los denunciantes, </w:t>
      </w:r>
      <w:r>
        <w:rPr>
          <w:rFonts w:ascii="Arial" w:eastAsia="Arial" w:hAnsi="Arial" w:cs="Arial"/>
          <w:b/>
          <w:color w:val="000000"/>
          <w:sz w:val="24"/>
          <w:szCs w:val="24"/>
        </w:rPr>
        <w:t>se actualizó la eficacia refleja de la</w:t>
      </w:r>
      <w:r>
        <w:rPr>
          <w:rFonts w:ascii="Arial" w:eastAsia="Arial" w:hAnsi="Arial" w:cs="Arial"/>
          <w:color w:val="000000"/>
          <w:sz w:val="24"/>
          <w:szCs w:val="24"/>
        </w:rPr>
        <w:t xml:space="preserve"> </w:t>
      </w:r>
      <w:r>
        <w:rPr>
          <w:rFonts w:ascii="Arial" w:eastAsia="Arial" w:hAnsi="Arial" w:cs="Arial"/>
          <w:b/>
          <w:color w:val="000000"/>
          <w:sz w:val="24"/>
          <w:szCs w:val="24"/>
        </w:rPr>
        <w:t>cosa juzgada</w:t>
      </w:r>
      <w:r>
        <w:rPr>
          <w:rFonts w:ascii="Arial" w:eastAsia="Arial" w:hAnsi="Arial" w:cs="Arial"/>
          <w:color w:val="000000"/>
          <w:sz w:val="24"/>
          <w:szCs w:val="24"/>
        </w:rPr>
        <w:t xml:space="preserve">, porque su contenido corresponde a la infracción consistente en la inasistencia de la entonces candidata María Teresa Jiménez Esquivel al debate electoral, organizado por el Instituto Local, controversia que ya fue objeto de pronunciamiento en el procedimiento especial sancionador (TEEA-PES-052/2022), </w:t>
      </w:r>
      <w:r>
        <w:rPr>
          <w:rFonts w:ascii="Arial" w:eastAsia="Arial" w:hAnsi="Arial" w:cs="Arial"/>
          <w:sz w:val="24"/>
          <w:szCs w:val="24"/>
        </w:rPr>
        <w:t xml:space="preserve">valorado </w:t>
      </w:r>
      <w:r>
        <w:rPr>
          <w:rFonts w:ascii="Arial" w:eastAsia="Arial" w:hAnsi="Arial" w:cs="Arial"/>
          <w:color w:val="000000"/>
          <w:sz w:val="24"/>
          <w:szCs w:val="24"/>
        </w:rPr>
        <w:t xml:space="preserve">por este órgano jurisdiccional, en el que su respectiva sentencia ha adquirido firmeza, al no haber sido recurrida dentro los cuatro días posteriores a su emisión. Esta postura se considera así a partir de la concurrencia de las condiciones siguientes: </w:t>
      </w:r>
    </w:p>
    <w:p w14:paraId="0191EDB1" w14:textId="77777777" w:rsidR="00DE7B67" w:rsidRDefault="00044E47">
      <w:pPr>
        <w:pBdr>
          <w:top w:val="nil"/>
          <w:left w:val="nil"/>
          <w:bottom w:val="nil"/>
          <w:right w:val="nil"/>
          <w:between w:val="nil"/>
        </w:pBdr>
        <w:rPr>
          <w:color w:val="000000"/>
        </w:rPr>
      </w:pPr>
      <w:r>
        <w:rPr>
          <w:color w:val="000000"/>
        </w:rPr>
        <w:t xml:space="preserve"> </w:t>
      </w:r>
    </w:p>
    <w:p w14:paraId="565842E4" w14:textId="77777777" w:rsidR="00DE7B67" w:rsidRDefault="00044E47" w:rsidP="003D4D2E">
      <w:pPr>
        <w:numPr>
          <w:ilvl w:val="0"/>
          <w:numId w:val="7"/>
        </w:numPr>
        <w:pBdr>
          <w:top w:val="nil"/>
          <w:left w:val="nil"/>
          <w:bottom w:val="nil"/>
          <w:right w:val="nil"/>
          <w:between w:val="nil"/>
        </w:pBdr>
        <w:tabs>
          <w:tab w:val="left" w:pos="426"/>
        </w:tabs>
        <w:spacing w:line="360" w:lineRule="auto"/>
        <w:ind w:left="0" w:firstLine="0"/>
        <w:jc w:val="both"/>
        <w:rPr>
          <w:rFonts w:ascii="Arial" w:eastAsia="Arial" w:hAnsi="Arial" w:cs="Arial"/>
          <w:b/>
          <w:color w:val="000000"/>
          <w:sz w:val="24"/>
          <w:szCs w:val="24"/>
          <w:highlight w:val="white"/>
        </w:rPr>
      </w:pPr>
      <w:r>
        <w:rPr>
          <w:rFonts w:ascii="Arial" w:eastAsia="Arial" w:hAnsi="Arial" w:cs="Arial"/>
          <w:i/>
          <w:color w:val="000000"/>
          <w:sz w:val="24"/>
          <w:szCs w:val="24"/>
          <w:highlight w:val="white"/>
        </w:rPr>
        <w:t>La existencia de un proceso resuelto previamente</w:t>
      </w:r>
      <w:r>
        <w:rPr>
          <w:rFonts w:ascii="Arial" w:eastAsia="Arial" w:hAnsi="Arial" w:cs="Arial"/>
          <w:b/>
          <w:color w:val="000000"/>
          <w:sz w:val="24"/>
          <w:szCs w:val="24"/>
          <w:highlight w:val="white"/>
        </w:rPr>
        <w:t xml:space="preserve">: </w:t>
      </w:r>
      <w:r>
        <w:rPr>
          <w:rFonts w:ascii="Arial" w:eastAsia="Arial" w:hAnsi="Arial" w:cs="Arial"/>
          <w:color w:val="000000"/>
          <w:sz w:val="24"/>
          <w:szCs w:val="24"/>
          <w:highlight w:val="white"/>
        </w:rPr>
        <w:t xml:space="preserve">en el procedimiento </w:t>
      </w:r>
      <w:r>
        <w:rPr>
          <w:rFonts w:ascii="Arial" w:eastAsia="Arial" w:hAnsi="Arial" w:cs="Arial"/>
          <w:b/>
          <w:color w:val="000000"/>
          <w:sz w:val="24"/>
          <w:szCs w:val="24"/>
        </w:rPr>
        <w:t>TEEA-PES-052/2022</w:t>
      </w:r>
      <w:r>
        <w:rPr>
          <w:rFonts w:ascii="Arial" w:eastAsia="Arial" w:hAnsi="Arial" w:cs="Arial"/>
          <w:color w:val="000000"/>
          <w:sz w:val="24"/>
          <w:szCs w:val="24"/>
        </w:rPr>
        <w:t xml:space="preserve"> -resuelto en la sesión del once de junio de dos mil veintidós-, se analizó la supuesta inasistencia de la candidata María Teresa Jiménez Esquivel al segundo debate electoral que organizó el Instituto Electoral a través de la Comisión Temporal de Debates, realizado el veinticuatro de mayo, en la Sala de Exposiciones del Fideicomiso Complejo Tres Centurias (FICOTRECE). </w:t>
      </w:r>
    </w:p>
    <w:p w14:paraId="130B0963" w14:textId="77777777" w:rsidR="00DE7B67" w:rsidRDefault="00DE7B67">
      <w:pPr>
        <w:pBdr>
          <w:top w:val="nil"/>
          <w:left w:val="nil"/>
          <w:bottom w:val="nil"/>
          <w:right w:val="nil"/>
          <w:between w:val="nil"/>
        </w:pBdr>
        <w:rPr>
          <w:color w:val="000000"/>
        </w:rPr>
      </w:pPr>
    </w:p>
    <w:p w14:paraId="2973D0C4" w14:textId="77777777" w:rsidR="00DE7B67" w:rsidRDefault="00044E47">
      <w:pPr>
        <w:spacing w:line="360" w:lineRule="auto"/>
        <w:jc w:val="both"/>
        <w:rPr>
          <w:rFonts w:ascii="Arial" w:eastAsia="Arial" w:hAnsi="Arial" w:cs="Arial"/>
          <w:b/>
          <w:color w:val="000000"/>
          <w:sz w:val="24"/>
          <w:szCs w:val="24"/>
        </w:rPr>
      </w:pPr>
      <w:r>
        <w:rPr>
          <w:rFonts w:ascii="Arial" w:eastAsia="Arial" w:hAnsi="Arial" w:cs="Arial"/>
          <w:color w:val="000000"/>
          <w:sz w:val="24"/>
          <w:szCs w:val="24"/>
        </w:rPr>
        <w:t xml:space="preserve">En tal sentencia, este Tribunal Electoral </w:t>
      </w:r>
      <w:r>
        <w:rPr>
          <w:rFonts w:ascii="Arial" w:eastAsia="Arial" w:hAnsi="Arial" w:cs="Arial"/>
          <w:b/>
          <w:color w:val="000000"/>
          <w:sz w:val="24"/>
          <w:szCs w:val="24"/>
        </w:rPr>
        <w:t>determinó la existencia de la infracción</w:t>
      </w:r>
      <w:r>
        <w:rPr>
          <w:rFonts w:ascii="Arial" w:eastAsia="Arial" w:hAnsi="Arial" w:cs="Arial"/>
          <w:color w:val="000000"/>
          <w:sz w:val="24"/>
          <w:szCs w:val="24"/>
        </w:rPr>
        <w:t xml:space="preserve">, al considerar que la porción normativa prevista en el artículo 244, fracción X, del Código Electoral, que exige a las candidaturas asistir de forma obligatoria al debate electoral, es válida y, por tanto, se logró demostrar que la candidata cuestionada </w:t>
      </w:r>
      <w:r>
        <w:rPr>
          <w:rFonts w:ascii="Arial" w:eastAsia="Arial" w:hAnsi="Arial" w:cs="Arial"/>
          <w:sz w:val="24"/>
          <w:szCs w:val="24"/>
        </w:rPr>
        <w:t>no asistió</w:t>
      </w:r>
      <w:r>
        <w:rPr>
          <w:rFonts w:ascii="Arial" w:eastAsia="Arial" w:hAnsi="Arial" w:cs="Arial"/>
          <w:color w:val="000000"/>
          <w:sz w:val="24"/>
          <w:szCs w:val="24"/>
        </w:rPr>
        <w:t xml:space="preserve"> a </w:t>
      </w:r>
      <w:r>
        <w:rPr>
          <w:rFonts w:ascii="Arial" w:eastAsia="Arial" w:hAnsi="Arial" w:cs="Arial"/>
          <w:sz w:val="24"/>
          <w:szCs w:val="24"/>
        </w:rPr>
        <w:t>tal evento</w:t>
      </w:r>
      <w:r>
        <w:rPr>
          <w:rFonts w:ascii="Arial" w:eastAsia="Arial" w:hAnsi="Arial" w:cs="Arial"/>
          <w:color w:val="000000"/>
          <w:sz w:val="24"/>
          <w:szCs w:val="24"/>
        </w:rPr>
        <w:t xml:space="preserve">, por lo cual, </w:t>
      </w:r>
      <w:r>
        <w:rPr>
          <w:rFonts w:ascii="Arial" w:eastAsia="Arial" w:hAnsi="Arial" w:cs="Arial"/>
          <w:b/>
          <w:color w:val="000000"/>
          <w:sz w:val="24"/>
          <w:szCs w:val="24"/>
        </w:rPr>
        <w:t>se sancionó</w:t>
      </w:r>
      <w:r>
        <w:rPr>
          <w:rFonts w:ascii="Arial" w:eastAsia="Arial" w:hAnsi="Arial" w:cs="Arial"/>
          <w:color w:val="000000"/>
          <w:sz w:val="24"/>
          <w:szCs w:val="24"/>
        </w:rPr>
        <w:t xml:space="preserve"> </w:t>
      </w:r>
      <w:r>
        <w:rPr>
          <w:rFonts w:ascii="Arial" w:eastAsia="Arial" w:hAnsi="Arial" w:cs="Arial"/>
          <w:b/>
          <w:sz w:val="24"/>
          <w:szCs w:val="24"/>
        </w:rPr>
        <w:t xml:space="preserve">exclusivamente a tal candidata </w:t>
      </w:r>
      <w:r>
        <w:rPr>
          <w:rFonts w:ascii="Arial" w:eastAsia="Arial" w:hAnsi="Arial" w:cs="Arial"/>
          <w:color w:val="000000"/>
          <w:sz w:val="24"/>
          <w:szCs w:val="24"/>
        </w:rPr>
        <w:t>con una amonestación pública</w:t>
      </w:r>
      <w:r>
        <w:rPr>
          <w:rFonts w:ascii="Arial" w:eastAsia="Arial" w:hAnsi="Arial" w:cs="Arial"/>
          <w:sz w:val="24"/>
          <w:szCs w:val="24"/>
        </w:rPr>
        <w:t>.</w:t>
      </w:r>
    </w:p>
    <w:p w14:paraId="5B1CB2B6" w14:textId="77777777" w:rsidR="00DE7B67" w:rsidRDefault="00DE7B67">
      <w:pPr>
        <w:jc w:val="both"/>
        <w:rPr>
          <w:rFonts w:ascii="Arial" w:eastAsia="Arial" w:hAnsi="Arial" w:cs="Arial"/>
          <w:b/>
          <w:sz w:val="24"/>
          <w:szCs w:val="24"/>
        </w:rPr>
      </w:pPr>
    </w:p>
    <w:p w14:paraId="7700E334" w14:textId="77777777" w:rsidR="00DE7B67" w:rsidRDefault="00044E47">
      <w:pP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Por último, es relevante destacar que tal asunto no fue impugnado en el plazo de los cuatro días subsecuentes, por ninguna de las partes, </w:t>
      </w:r>
      <w:r>
        <w:rPr>
          <w:rFonts w:ascii="Arial" w:eastAsia="Arial" w:hAnsi="Arial" w:cs="Arial"/>
          <w:sz w:val="24"/>
          <w:szCs w:val="24"/>
        </w:rPr>
        <w:t xml:space="preserve">de ahí </w:t>
      </w:r>
      <w:r>
        <w:rPr>
          <w:rFonts w:ascii="Arial" w:eastAsia="Arial" w:hAnsi="Arial" w:cs="Arial"/>
          <w:color w:val="000000"/>
          <w:sz w:val="24"/>
          <w:szCs w:val="24"/>
        </w:rPr>
        <w:t xml:space="preserve">que </w:t>
      </w:r>
      <w:r>
        <w:rPr>
          <w:rFonts w:ascii="Arial" w:eastAsia="Arial" w:hAnsi="Arial" w:cs="Arial"/>
          <w:b/>
          <w:color w:val="000000"/>
          <w:sz w:val="24"/>
          <w:szCs w:val="24"/>
        </w:rPr>
        <w:t>su contenido se considera firme y definitivo</w:t>
      </w:r>
      <w:r>
        <w:rPr>
          <w:rFonts w:ascii="Arial" w:eastAsia="Arial" w:hAnsi="Arial" w:cs="Arial"/>
          <w:color w:val="000000"/>
          <w:sz w:val="24"/>
          <w:szCs w:val="24"/>
        </w:rPr>
        <w:t xml:space="preserve"> y, a su vez, </w:t>
      </w:r>
      <w:r>
        <w:rPr>
          <w:rFonts w:ascii="Arial" w:eastAsia="Arial" w:hAnsi="Arial" w:cs="Arial"/>
          <w:b/>
          <w:color w:val="000000"/>
          <w:sz w:val="24"/>
          <w:szCs w:val="24"/>
        </w:rPr>
        <w:t>cosa juzgada</w:t>
      </w:r>
      <w:r>
        <w:rPr>
          <w:rFonts w:ascii="Arial" w:eastAsia="Arial" w:hAnsi="Arial" w:cs="Arial"/>
          <w:color w:val="000000"/>
          <w:sz w:val="24"/>
          <w:szCs w:val="24"/>
        </w:rPr>
        <w:t xml:space="preserve">. </w:t>
      </w:r>
    </w:p>
    <w:p w14:paraId="78194217" w14:textId="77777777" w:rsidR="00DE7B67" w:rsidRDefault="00DE7B67">
      <w:pPr>
        <w:pBdr>
          <w:top w:val="nil"/>
          <w:left w:val="nil"/>
          <w:bottom w:val="nil"/>
          <w:right w:val="nil"/>
          <w:between w:val="nil"/>
        </w:pBdr>
        <w:rPr>
          <w:color w:val="000000"/>
        </w:rPr>
      </w:pPr>
    </w:p>
    <w:p w14:paraId="7C096476" w14:textId="77777777" w:rsidR="00DE7B67" w:rsidRDefault="00044E47" w:rsidP="003D4D2E">
      <w:pPr>
        <w:numPr>
          <w:ilvl w:val="0"/>
          <w:numId w:val="7"/>
        </w:numPr>
        <w:pBdr>
          <w:top w:val="nil"/>
          <w:left w:val="nil"/>
          <w:bottom w:val="nil"/>
          <w:right w:val="nil"/>
          <w:between w:val="nil"/>
        </w:pBdr>
        <w:tabs>
          <w:tab w:val="left" w:pos="426"/>
        </w:tabs>
        <w:spacing w:line="360" w:lineRule="auto"/>
        <w:ind w:left="0" w:firstLine="0"/>
        <w:jc w:val="both"/>
        <w:rPr>
          <w:rFonts w:ascii="Arial" w:eastAsia="Arial" w:hAnsi="Arial" w:cs="Arial"/>
          <w:b/>
          <w:color w:val="000000"/>
          <w:sz w:val="24"/>
          <w:szCs w:val="24"/>
          <w:highlight w:val="white"/>
        </w:rPr>
      </w:pPr>
      <w:r>
        <w:rPr>
          <w:rFonts w:ascii="Arial" w:eastAsia="Arial" w:hAnsi="Arial" w:cs="Arial"/>
          <w:i/>
          <w:color w:val="000000"/>
          <w:sz w:val="24"/>
          <w:szCs w:val="24"/>
          <w:highlight w:val="white"/>
        </w:rPr>
        <w:t>La existencia de otro proceso en trámite</w:t>
      </w:r>
      <w:r>
        <w:rPr>
          <w:rFonts w:ascii="Arial" w:eastAsia="Arial" w:hAnsi="Arial" w:cs="Arial"/>
          <w:color w:val="000000"/>
          <w:sz w:val="24"/>
          <w:szCs w:val="24"/>
          <w:highlight w:val="white"/>
        </w:rPr>
        <w:t>:</w:t>
      </w:r>
      <w:r>
        <w:rPr>
          <w:rFonts w:ascii="Arial" w:eastAsia="Arial" w:hAnsi="Arial" w:cs="Arial"/>
          <w:b/>
          <w:color w:val="000000"/>
          <w:sz w:val="24"/>
          <w:szCs w:val="24"/>
          <w:highlight w:val="white"/>
        </w:rPr>
        <w:t xml:space="preserve"> </w:t>
      </w:r>
      <w:r>
        <w:rPr>
          <w:rFonts w:ascii="Arial" w:eastAsia="Arial" w:hAnsi="Arial" w:cs="Arial"/>
          <w:color w:val="000000"/>
          <w:sz w:val="24"/>
          <w:szCs w:val="24"/>
          <w:highlight w:val="white"/>
        </w:rPr>
        <w:t xml:space="preserve">en el presente procedimiento se plantea la </w:t>
      </w:r>
      <w:r>
        <w:rPr>
          <w:rFonts w:ascii="Arial" w:eastAsia="Arial" w:hAnsi="Arial" w:cs="Arial"/>
          <w:b/>
          <w:color w:val="000000"/>
          <w:sz w:val="24"/>
          <w:szCs w:val="24"/>
          <w:highlight w:val="white"/>
        </w:rPr>
        <w:t>misma controversia</w:t>
      </w:r>
      <w:r>
        <w:rPr>
          <w:rFonts w:ascii="Arial" w:eastAsia="Arial" w:hAnsi="Arial" w:cs="Arial"/>
          <w:color w:val="000000"/>
          <w:sz w:val="24"/>
          <w:szCs w:val="24"/>
          <w:highlight w:val="white"/>
        </w:rPr>
        <w:t xml:space="preserve">, es decir, los denunciantes pretenden, esencialmente, que se acredite la infracción atribuida a la entonces candidata </w:t>
      </w:r>
      <w:r>
        <w:rPr>
          <w:rFonts w:ascii="Arial" w:eastAsia="Arial" w:hAnsi="Arial" w:cs="Arial"/>
          <w:color w:val="000000"/>
          <w:sz w:val="24"/>
          <w:szCs w:val="24"/>
        </w:rPr>
        <w:t xml:space="preserve">María Teresa Jiménez Esquivel, por haberse ausentado al debate y, en consecuencia, que se le sancione por ello. </w:t>
      </w:r>
    </w:p>
    <w:p w14:paraId="0F6009AB" w14:textId="77777777" w:rsidR="00DE7B67" w:rsidRDefault="00DE7B67">
      <w:pPr>
        <w:jc w:val="both"/>
        <w:rPr>
          <w:rFonts w:ascii="Arial" w:eastAsia="Arial" w:hAnsi="Arial" w:cs="Arial"/>
          <w:color w:val="000000"/>
          <w:sz w:val="24"/>
          <w:szCs w:val="24"/>
          <w:highlight w:val="white"/>
        </w:rPr>
      </w:pPr>
    </w:p>
    <w:p w14:paraId="725F8FE7" w14:textId="77777777" w:rsidR="00DE7B67" w:rsidRDefault="00044E47" w:rsidP="003D4D2E">
      <w:pPr>
        <w:numPr>
          <w:ilvl w:val="0"/>
          <w:numId w:val="7"/>
        </w:numPr>
        <w:pBdr>
          <w:top w:val="nil"/>
          <w:left w:val="nil"/>
          <w:bottom w:val="nil"/>
          <w:right w:val="nil"/>
          <w:between w:val="nil"/>
        </w:pBdr>
        <w:tabs>
          <w:tab w:val="left" w:pos="426"/>
        </w:tabs>
        <w:spacing w:line="360" w:lineRule="auto"/>
        <w:ind w:left="0" w:hanging="11"/>
        <w:jc w:val="both"/>
        <w:rPr>
          <w:rFonts w:ascii="Arial" w:eastAsia="Arial" w:hAnsi="Arial" w:cs="Arial"/>
          <w:color w:val="000000"/>
          <w:sz w:val="24"/>
          <w:szCs w:val="24"/>
          <w:highlight w:val="white"/>
        </w:rPr>
      </w:pPr>
      <w:r>
        <w:rPr>
          <w:rFonts w:ascii="Arial" w:eastAsia="Arial" w:hAnsi="Arial" w:cs="Arial"/>
          <w:i/>
          <w:color w:val="000000"/>
          <w:sz w:val="24"/>
          <w:szCs w:val="24"/>
          <w:highlight w:val="white"/>
        </w:rPr>
        <w:t>Que</w:t>
      </w:r>
      <w:r>
        <w:rPr>
          <w:rFonts w:ascii="Arial" w:eastAsia="Arial" w:hAnsi="Arial" w:cs="Arial"/>
          <w:i/>
          <w:sz w:val="24"/>
          <w:szCs w:val="24"/>
          <w:highlight w:val="white"/>
        </w:rPr>
        <w:t xml:space="preserve"> </w:t>
      </w:r>
      <w:r>
        <w:rPr>
          <w:rFonts w:ascii="Arial" w:eastAsia="Arial" w:hAnsi="Arial" w:cs="Arial"/>
          <w:i/>
          <w:color w:val="000000"/>
          <w:sz w:val="24"/>
          <w:szCs w:val="24"/>
          <w:highlight w:val="white"/>
        </w:rPr>
        <w:t>los </w:t>
      </w:r>
      <w:r>
        <w:rPr>
          <w:rFonts w:ascii="Arial" w:eastAsia="Arial" w:hAnsi="Arial" w:cs="Arial"/>
          <w:b/>
          <w:i/>
          <w:color w:val="000000"/>
          <w:sz w:val="24"/>
          <w:szCs w:val="24"/>
          <w:highlight w:val="white"/>
        </w:rPr>
        <w:t>objetos</w:t>
      </w:r>
      <w:r>
        <w:rPr>
          <w:rFonts w:ascii="Arial" w:eastAsia="Arial" w:hAnsi="Arial" w:cs="Arial"/>
          <w:i/>
          <w:color w:val="000000"/>
          <w:sz w:val="24"/>
          <w:szCs w:val="24"/>
          <w:highlight w:val="white"/>
        </w:rPr>
        <w:t xml:space="preserve"> de ambos procedimientos sean </w:t>
      </w:r>
      <w:r>
        <w:rPr>
          <w:rFonts w:ascii="Arial" w:eastAsia="Arial" w:hAnsi="Arial" w:cs="Arial"/>
          <w:b/>
          <w:i/>
          <w:color w:val="000000"/>
          <w:sz w:val="24"/>
          <w:szCs w:val="24"/>
          <w:highlight w:val="white"/>
        </w:rPr>
        <w:t>conexos</w:t>
      </w:r>
      <w:r>
        <w:rPr>
          <w:rFonts w:ascii="Arial" w:eastAsia="Arial" w:hAnsi="Arial" w:cs="Arial"/>
          <w:i/>
          <w:color w:val="000000"/>
          <w:sz w:val="24"/>
          <w:szCs w:val="24"/>
          <w:highlight w:val="white"/>
        </w:rPr>
        <w:t>, es decir, estar estrechamente vinculados o tener relación sustancial de interdependencia, a grado tal, que se produzca la posibilidad de fallos contradictorios</w:t>
      </w:r>
      <w:r>
        <w:rPr>
          <w:rFonts w:ascii="Arial" w:eastAsia="Arial" w:hAnsi="Arial" w:cs="Arial"/>
          <w:color w:val="000000"/>
          <w:sz w:val="24"/>
          <w:szCs w:val="24"/>
          <w:highlight w:val="white"/>
        </w:rPr>
        <w:t xml:space="preserve">: debe tomarse en cuenta que entre el procedimiento previo y el que se resuelve en esta ocasión, existe una relación sustancial de dependencia, en atención a que </w:t>
      </w:r>
      <w:r>
        <w:rPr>
          <w:rFonts w:ascii="Arial" w:eastAsia="Arial" w:hAnsi="Arial" w:cs="Arial"/>
          <w:b/>
          <w:color w:val="000000"/>
          <w:sz w:val="24"/>
          <w:szCs w:val="24"/>
          <w:highlight w:val="white"/>
        </w:rPr>
        <w:t>la infracción</w:t>
      </w:r>
      <w:r>
        <w:rPr>
          <w:rFonts w:ascii="Arial" w:eastAsia="Arial" w:hAnsi="Arial" w:cs="Arial"/>
          <w:color w:val="000000"/>
          <w:sz w:val="24"/>
          <w:szCs w:val="24"/>
          <w:highlight w:val="white"/>
        </w:rPr>
        <w:t xml:space="preserve"> denunciada y la atribuida a la referida candidatura </w:t>
      </w:r>
      <w:r>
        <w:rPr>
          <w:rFonts w:ascii="Arial" w:eastAsia="Arial" w:hAnsi="Arial" w:cs="Arial"/>
          <w:b/>
          <w:color w:val="000000"/>
          <w:sz w:val="24"/>
          <w:szCs w:val="24"/>
          <w:highlight w:val="white"/>
        </w:rPr>
        <w:t xml:space="preserve">es idéntica.  </w:t>
      </w:r>
    </w:p>
    <w:p w14:paraId="57208641" w14:textId="77777777" w:rsidR="00DE7B67" w:rsidRDefault="00DE7B67">
      <w:pPr>
        <w:pBdr>
          <w:top w:val="nil"/>
          <w:left w:val="nil"/>
          <w:bottom w:val="nil"/>
          <w:right w:val="nil"/>
          <w:between w:val="nil"/>
        </w:pBdr>
        <w:rPr>
          <w:color w:val="000000"/>
          <w:highlight w:val="white"/>
        </w:rPr>
      </w:pPr>
    </w:p>
    <w:p w14:paraId="15CB56D7" w14:textId="77777777" w:rsidR="00DE7B67" w:rsidRDefault="00044E47" w:rsidP="003D4D2E">
      <w:pPr>
        <w:numPr>
          <w:ilvl w:val="0"/>
          <w:numId w:val="7"/>
        </w:numPr>
        <w:pBdr>
          <w:top w:val="nil"/>
          <w:left w:val="nil"/>
          <w:bottom w:val="nil"/>
          <w:right w:val="nil"/>
          <w:between w:val="nil"/>
        </w:pBdr>
        <w:tabs>
          <w:tab w:val="left" w:pos="426"/>
        </w:tabs>
        <w:spacing w:line="360" w:lineRule="auto"/>
        <w:ind w:left="0" w:hanging="11"/>
        <w:jc w:val="both"/>
        <w:rPr>
          <w:rFonts w:ascii="Arial" w:eastAsia="Arial" w:hAnsi="Arial" w:cs="Arial"/>
          <w:color w:val="000000"/>
          <w:sz w:val="24"/>
          <w:szCs w:val="24"/>
          <w:highlight w:val="white"/>
        </w:rPr>
      </w:pPr>
      <w:r>
        <w:rPr>
          <w:rFonts w:ascii="Arial" w:eastAsia="Arial" w:hAnsi="Arial" w:cs="Arial"/>
          <w:i/>
          <w:color w:val="000000"/>
          <w:sz w:val="24"/>
          <w:szCs w:val="24"/>
          <w:highlight w:val="white"/>
        </w:rPr>
        <w:lastRenderedPageBreak/>
        <w:t>En ambos debe presentarse un hecho o situación que sea un elemento o presupuesto lógico necesario para sustentar el sentido de la decisión del litigio</w:t>
      </w:r>
      <w:r>
        <w:rPr>
          <w:rFonts w:ascii="Arial" w:eastAsia="Arial" w:hAnsi="Arial" w:cs="Arial"/>
          <w:color w:val="000000"/>
          <w:sz w:val="24"/>
          <w:szCs w:val="24"/>
          <w:highlight w:val="white"/>
        </w:rPr>
        <w:t xml:space="preserve">: este órgano jurisdiccional estima que sí existe una vinculación entre la ejecutoria comentada, en relación con el asunto que se resuelve, ya que al tratarse de dos denuncias que pretenden que se acredite la existencia de la misma infracción contra la misma conducta, específicamente, ausencia de la candidata al segundo debate electoral, implica que </w:t>
      </w:r>
      <w:r>
        <w:rPr>
          <w:rFonts w:ascii="Arial" w:eastAsia="Arial" w:hAnsi="Arial" w:cs="Arial"/>
          <w:b/>
          <w:color w:val="000000"/>
          <w:sz w:val="24"/>
          <w:szCs w:val="24"/>
          <w:highlight w:val="white"/>
        </w:rPr>
        <w:t>no se podría llegar a una conclusión distinta respecto a la irregularidad que ya fue analizada</w:t>
      </w:r>
      <w:r>
        <w:rPr>
          <w:rFonts w:ascii="Arial" w:eastAsia="Arial" w:hAnsi="Arial" w:cs="Arial"/>
          <w:color w:val="000000"/>
          <w:sz w:val="24"/>
          <w:szCs w:val="24"/>
          <w:highlight w:val="white"/>
        </w:rPr>
        <w:t>, valorada y resuelta en el asunto (</w:t>
      </w:r>
      <w:r>
        <w:rPr>
          <w:rFonts w:ascii="Arial" w:eastAsia="Arial" w:hAnsi="Arial" w:cs="Arial"/>
          <w:color w:val="000000"/>
          <w:sz w:val="24"/>
          <w:szCs w:val="24"/>
        </w:rPr>
        <w:t xml:space="preserve">TEEA-PES-052/2022), </w:t>
      </w:r>
      <w:r>
        <w:rPr>
          <w:rFonts w:ascii="Arial" w:eastAsia="Arial" w:hAnsi="Arial" w:cs="Arial"/>
          <w:color w:val="000000"/>
          <w:sz w:val="24"/>
          <w:szCs w:val="24"/>
          <w:u w:val="single"/>
        </w:rPr>
        <w:t>sin el riesgo de emitir fallos contradictorios</w:t>
      </w:r>
      <w:r>
        <w:rPr>
          <w:rFonts w:ascii="Arial" w:eastAsia="Arial" w:hAnsi="Arial" w:cs="Arial"/>
          <w:color w:val="000000"/>
          <w:sz w:val="24"/>
          <w:szCs w:val="24"/>
        </w:rPr>
        <w:t xml:space="preserve">. </w:t>
      </w:r>
    </w:p>
    <w:p w14:paraId="34CF26CF" w14:textId="77777777" w:rsidR="00DE7B67" w:rsidRDefault="00DE7B67">
      <w:pPr>
        <w:pBdr>
          <w:top w:val="nil"/>
          <w:left w:val="nil"/>
          <w:bottom w:val="nil"/>
          <w:right w:val="nil"/>
          <w:between w:val="nil"/>
        </w:pBdr>
        <w:rPr>
          <w:color w:val="000000"/>
          <w:highlight w:val="white"/>
        </w:rPr>
      </w:pPr>
    </w:p>
    <w:p w14:paraId="0A10AF97" w14:textId="77777777" w:rsidR="00DE7B67" w:rsidRDefault="00044E47">
      <w:pPr>
        <w:spacing w:line="36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 xml:space="preserve">3.1. Criterio preciso </w:t>
      </w:r>
    </w:p>
    <w:p w14:paraId="3D2CE5E8" w14:textId="77777777" w:rsidR="00DE7B67" w:rsidRDefault="00DE7B67">
      <w:pPr>
        <w:pBdr>
          <w:top w:val="nil"/>
          <w:left w:val="nil"/>
          <w:bottom w:val="nil"/>
          <w:right w:val="nil"/>
          <w:between w:val="nil"/>
        </w:pBdr>
        <w:rPr>
          <w:color w:val="000000"/>
          <w:highlight w:val="white"/>
        </w:rPr>
      </w:pPr>
    </w:p>
    <w:p w14:paraId="7E7CDC01" w14:textId="77777777" w:rsidR="00DE7B67" w:rsidRDefault="00044E47">
      <w:pPr>
        <w:spacing w:line="360" w:lineRule="auto"/>
        <w:jc w:val="both"/>
        <w:rPr>
          <w:rFonts w:ascii="Arial" w:eastAsia="Arial" w:hAnsi="Arial" w:cs="Arial"/>
          <w:color w:val="000000"/>
          <w:sz w:val="24"/>
          <w:szCs w:val="24"/>
        </w:rPr>
      </w:pPr>
      <w:r>
        <w:rPr>
          <w:rFonts w:ascii="Arial" w:eastAsia="Arial" w:hAnsi="Arial" w:cs="Arial"/>
          <w:color w:val="000000"/>
          <w:sz w:val="24"/>
          <w:szCs w:val="24"/>
          <w:highlight w:val="white"/>
        </w:rPr>
        <w:t>La infracción que se denuncia por parte de los partidos políticos Morena y PVEM en el presente asunto es idéntica a la resuelta por este Tribunal Electoral al emitir la sentencia</w:t>
      </w:r>
      <w:r>
        <w:rPr>
          <w:rFonts w:ascii="Arial" w:eastAsia="Arial" w:hAnsi="Arial" w:cs="Arial"/>
          <w:b/>
          <w:color w:val="000000"/>
          <w:sz w:val="24"/>
          <w:szCs w:val="24"/>
          <w:highlight w:val="white"/>
        </w:rPr>
        <w:t xml:space="preserve"> </w:t>
      </w:r>
      <w:r>
        <w:rPr>
          <w:rFonts w:ascii="Arial" w:eastAsia="Arial" w:hAnsi="Arial" w:cs="Arial"/>
          <w:color w:val="000000"/>
          <w:sz w:val="24"/>
          <w:szCs w:val="24"/>
          <w:highlight w:val="white"/>
        </w:rPr>
        <w:t>(TEEA</w:t>
      </w:r>
      <w:r>
        <w:rPr>
          <w:rFonts w:ascii="Arial" w:eastAsia="Arial" w:hAnsi="Arial" w:cs="Arial"/>
          <w:color w:val="000000"/>
          <w:sz w:val="24"/>
          <w:szCs w:val="24"/>
        </w:rPr>
        <w:t xml:space="preserve">-PES-052/2022). </w:t>
      </w:r>
    </w:p>
    <w:p w14:paraId="171113B1" w14:textId="77777777" w:rsidR="00DE7B67" w:rsidRDefault="00DE7B67">
      <w:pPr>
        <w:pBdr>
          <w:top w:val="nil"/>
          <w:left w:val="nil"/>
          <w:bottom w:val="nil"/>
          <w:right w:val="nil"/>
          <w:between w:val="nil"/>
        </w:pBdr>
        <w:rPr>
          <w:color w:val="000000"/>
        </w:rPr>
      </w:pPr>
    </w:p>
    <w:p w14:paraId="052D3490" w14:textId="77777777" w:rsidR="00DE7B67" w:rsidRDefault="00044E47">
      <w:pPr>
        <w:spacing w:line="360" w:lineRule="auto"/>
        <w:jc w:val="both"/>
        <w:rPr>
          <w:rFonts w:ascii="Arial" w:eastAsia="Arial" w:hAnsi="Arial" w:cs="Arial"/>
          <w:color w:val="000000"/>
          <w:sz w:val="24"/>
          <w:szCs w:val="24"/>
        </w:rPr>
      </w:pPr>
      <w:r>
        <w:rPr>
          <w:rFonts w:ascii="Arial" w:eastAsia="Arial" w:hAnsi="Arial" w:cs="Arial"/>
          <w:color w:val="000000"/>
          <w:sz w:val="24"/>
          <w:szCs w:val="24"/>
        </w:rPr>
        <w:t>Ello se debió a que, de forma previa, en el otro procedimiento se acreditó la existencia de la infracción -inasistencia a un debate electoral- en el marco del proceso electoral 2021-2022, que renueva la gubernatura de Aguascalientes, dado que se logró demostrar que efectivamente la entonces can</w:t>
      </w:r>
      <w:r>
        <w:rPr>
          <w:rFonts w:ascii="Arial" w:eastAsia="Arial" w:hAnsi="Arial" w:cs="Arial"/>
          <w:sz w:val="24"/>
          <w:szCs w:val="24"/>
        </w:rPr>
        <w:t>d</w:t>
      </w:r>
      <w:r>
        <w:rPr>
          <w:rFonts w:ascii="Arial" w:eastAsia="Arial" w:hAnsi="Arial" w:cs="Arial"/>
          <w:color w:val="000000"/>
          <w:sz w:val="24"/>
          <w:szCs w:val="24"/>
        </w:rPr>
        <w:t xml:space="preserve">idata María Teresa Jiménez Esquivel, se ausentó a este y, en consecuencia, se le sancionó por tal omisión. </w:t>
      </w:r>
    </w:p>
    <w:p w14:paraId="324621D3" w14:textId="77777777" w:rsidR="00DE7B67" w:rsidRDefault="00DE7B67">
      <w:pPr>
        <w:pBdr>
          <w:top w:val="nil"/>
          <w:left w:val="nil"/>
          <w:bottom w:val="nil"/>
          <w:right w:val="nil"/>
          <w:between w:val="nil"/>
        </w:pBdr>
        <w:rPr>
          <w:color w:val="000000"/>
        </w:rPr>
      </w:pPr>
    </w:p>
    <w:p w14:paraId="478C6741" w14:textId="77777777" w:rsidR="00DE7B67" w:rsidRDefault="00044E47">
      <w:pPr>
        <w:spacing w:line="360" w:lineRule="auto"/>
        <w:jc w:val="both"/>
        <w:rPr>
          <w:rFonts w:ascii="Arial" w:eastAsia="Arial" w:hAnsi="Arial" w:cs="Arial"/>
          <w:b/>
          <w:color w:val="000000"/>
          <w:sz w:val="24"/>
          <w:szCs w:val="24"/>
        </w:rPr>
      </w:pPr>
      <w:r>
        <w:rPr>
          <w:rFonts w:ascii="Arial" w:eastAsia="Arial" w:hAnsi="Arial" w:cs="Arial"/>
          <w:color w:val="000000"/>
          <w:sz w:val="24"/>
          <w:szCs w:val="24"/>
        </w:rPr>
        <w:t xml:space="preserve">Ante ello, este Tribunal Electoral estima que opera la figura procesal de la eficacia refleja de la </w:t>
      </w:r>
      <w:r>
        <w:rPr>
          <w:rFonts w:ascii="Arial" w:eastAsia="Arial" w:hAnsi="Arial" w:cs="Arial"/>
          <w:b/>
          <w:color w:val="000000"/>
          <w:sz w:val="24"/>
          <w:szCs w:val="24"/>
        </w:rPr>
        <w:t>cosa juzgada</w:t>
      </w:r>
      <w:r>
        <w:rPr>
          <w:rFonts w:ascii="Arial" w:eastAsia="Arial" w:hAnsi="Arial" w:cs="Arial"/>
          <w:color w:val="000000"/>
          <w:sz w:val="24"/>
          <w:szCs w:val="24"/>
        </w:rPr>
        <w:t xml:space="preserve">, sobre todo porque dicho criterio </w:t>
      </w:r>
      <w:r>
        <w:rPr>
          <w:rFonts w:ascii="Arial" w:eastAsia="Arial" w:hAnsi="Arial" w:cs="Arial"/>
          <w:b/>
          <w:color w:val="000000"/>
          <w:sz w:val="24"/>
          <w:szCs w:val="24"/>
        </w:rPr>
        <w:t>ha quedado firme.</w:t>
      </w:r>
    </w:p>
    <w:p w14:paraId="70620D04" w14:textId="77777777" w:rsidR="00DE7B67" w:rsidRDefault="00044E47">
      <w:pPr>
        <w:pBdr>
          <w:top w:val="nil"/>
          <w:left w:val="nil"/>
          <w:bottom w:val="nil"/>
          <w:right w:val="nil"/>
          <w:between w:val="nil"/>
        </w:pBdr>
        <w:rPr>
          <w:color w:val="000000"/>
        </w:rPr>
      </w:pPr>
      <w:r>
        <w:rPr>
          <w:color w:val="000000"/>
        </w:rPr>
        <w:t xml:space="preserve"> </w:t>
      </w:r>
    </w:p>
    <w:p w14:paraId="7C9A3B93" w14:textId="77777777" w:rsidR="00DE7B67" w:rsidRDefault="00044E47">
      <w:pPr>
        <w:spacing w:line="360" w:lineRule="auto"/>
        <w:jc w:val="both"/>
        <w:rPr>
          <w:rFonts w:ascii="Arial" w:eastAsia="Arial" w:hAnsi="Arial" w:cs="Arial"/>
          <w:b/>
          <w:i/>
          <w:sz w:val="24"/>
          <w:szCs w:val="24"/>
        </w:rPr>
      </w:pPr>
      <w:r>
        <w:rPr>
          <w:rFonts w:ascii="Arial" w:eastAsia="Arial" w:hAnsi="Arial" w:cs="Arial"/>
          <w:b/>
          <w:color w:val="000000"/>
          <w:sz w:val="24"/>
          <w:szCs w:val="24"/>
        </w:rPr>
        <w:t xml:space="preserve">3.2. Caso concreto </w:t>
      </w:r>
      <w:r>
        <w:rPr>
          <w:rFonts w:ascii="Arial" w:eastAsia="Arial" w:hAnsi="Arial" w:cs="Arial"/>
          <w:b/>
          <w:sz w:val="24"/>
          <w:szCs w:val="24"/>
        </w:rPr>
        <w:t xml:space="preserve">de la culpa </w:t>
      </w:r>
      <w:r>
        <w:rPr>
          <w:rFonts w:ascii="Arial" w:eastAsia="Arial" w:hAnsi="Arial" w:cs="Arial"/>
          <w:b/>
          <w:i/>
          <w:sz w:val="24"/>
          <w:szCs w:val="24"/>
        </w:rPr>
        <w:t>in vigilando</w:t>
      </w:r>
    </w:p>
    <w:p w14:paraId="43EC709C" w14:textId="77777777" w:rsidR="00DE7B67" w:rsidRDefault="00DE7B67">
      <w:pPr>
        <w:jc w:val="both"/>
        <w:rPr>
          <w:rFonts w:ascii="Arial" w:eastAsia="Arial" w:hAnsi="Arial" w:cs="Arial"/>
          <w:sz w:val="24"/>
          <w:szCs w:val="24"/>
        </w:rPr>
      </w:pPr>
    </w:p>
    <w:p w14:paraId="60A8F466" w14:textId="77777777" w:rsidR="00DE7B67" w:rsidRDefault="00044E47">
      <w:pP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Con motivo del cuestionamiento relativo a que la entonces candidata se hubiese ausentado en el debate electoral, el partido político Morena </w:t>
      </w:r>
      <w:r>
        <w:rPr>
          <w:rFonts w:ascii="Arial" w:eastAsia="Arial" w:hAnsi="Arial" w:cs="Arial"/>
          <w:b/>
          <w:color w:val="000000"/>
          <w:sz w:val="24"/>
          <w:szCs w:val="24"/>
        </w:rPr>
        <w:t xml:space="preserve">también denunció a los institutos políticos que integran la coalición “Va por Aguascalientes” por culpa </w:t>
      </w:r>
      <w:r>
        <w:rPr>
          <w:rFonts w:ascii="Arial" w:eastAsia="Arial" w:hAnsi="Arial" w:cs="Arial"/>
          <w:b/>
          <w:i/>
          <w:color w:val="000000"/>
          <w:sz w:val="24"/>
          <w:szCs w:val="24"/>
        </w:rPr>
        <w:t>in vigilando</w:t>
      </w:r>
      <w:r>
        <w:rPr>
          <w:rFonts w:ascii="Arial" w:eastAsia="Arial" w:hAnsi="Arial" w:cs="Arial"/>
          <w:color w:val="000000"/>
          <w:sz w:val="24"/>
          <w:szCs w:val="24"/>
        </w:rPr>
        <w:t xml:space="preserve">, al considerar que estos son garantes de procurar que sus integrantes, tales como candidaturas, no vulneren la normativa electoral, es decir, que además de la pretensión relativa a que se acredite la infracción contra María Teresa Jiménez Esquivel por su inasistencia al segundo debate obligatorio, igualmente pretende que se sancione a los partidos políticos coaligados por la infracción referida. </w:t>
      </w:r>
    </w:p>
    <w:p w14:paraId="4CB4E431" w14:textId="77777777" w:rsidR="00DE7B67" w:rsidRDefault="00DE7B67">
      <w:pPr>
        <w:pBdr>
          <w:top w:val="nil"/>
          <w:left w:val="nil"/>
          <w:bottom w:val="nil"/>
          <w:right w:val="nil"/>
          <w:between w:val="nil"/>
        </w:pBdr>
        <w:rPr>
          <w:color w:val="000000"/>
        </w:rPr>
      </w:pPr>
    </w:p>
    <w:p w14:paraId="52A2FE4C" w14:textId="77777777" w:rsidR="00DE7B67" w:rsidRDefault="00044E47">
      <w:pP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Al respecto, este Tribunal Electoral considera que si bien es cierto que se logró actualizar la eficacia refleja de la cosa juzgada en cuanto a la materia de impugnación relativa a la infracción consistente en la omisión de asistir al debate electoral por parte de la denunciada, lo cierto es que del análisis integral del escrito denuncia, se advierte que la parte quejosa también pretende que se sancionen a los partidos que conforman la coalición “Va por </w:t>
      </w:r>
      <w:r>
        <w:rPr>
          <w:rFonts w:ascii="Arial" w:eastAsia="Arial" w:hAnsi="Arial" w:cs="Arial"/>
          <w:color w:val="000000"/>
          <w:sz w:val="24"/>
          <w:szCs w:val="24"/>
        </w:rPr>
        <w:lastRenderedPageBreak/>
        <w:t xml:space="preserve">Aguascalientes”, por incumplir con su deber de garantes frente a su candidatura, por lo cual, se estima que se trata de un </w:t>
      </w:r>
      <w:r>
        <w:rPr>
          <w:rFonts w:ascii="Arial" w:eastAsia="Arial" w:hAnsi="Arial" w:cs="Arial"/>
          <w:b/>
          <w:color w:val="000000"/>
          <w:sz w:val="24"/>
          <w:szCs w:val="24"/>
        </w:rPr>
        <w:t>planteamiento novedoso</w:t>
      </w:r>
      <w:r>
        <w:rPr>
          <w:rFonts w:ascii="Arial" w:eastAsia="Arial" w:hAnsi="Arial" w:cs="Arial"/>
          <w:color w:val="000000"/>
          <w:sz w:val="24"/>
          <w:szCs w:val="24"/>
        </w:rPr>
        <w:t xml:space="preserve">, que amerita </w:t>
      </w:r>
      <w:r>
        <w:rPr>
          <w:rFonts w:ascii="Arial" w:eastAsia="Arial" w:hAnsi="Arial" w:cs="Arial"/>
          <w:sz w:val="24"/>
          <w:szCs w:val="24"/>
        </w:rPr>
        <w:t xml:space="preserve">un nuevo </w:t>
      </w:r>
      <w:r>
        <w:rPr>
          <w:rFonts w:ascii="Arial" w:eastAsia="Arial" w:hAnsi="Arial" w:cs="Arial"/>
          <w:color w:val="000000"/>
          <w:sz w:val="24"/>
          <w:szCs w:val="24"/>
        </w:rPr>
        <w:t xml:space="preserve">pronunciamiento </w:t>
      </w:r>
      <w:r>
        <w:rPr>
          <w:rFonts w:ascii="Arial" w:eastAsia="Arial" w:hAnsi="Arial" w:cs="Arial"/>
          <w:sz w:val="24"/>
          <w:szCs w:val="24"/>
        </w:rPr>
        <w:t xml:space="preserve">por parte de </w:t>
      </w:r>
      <w:r>
        <w:rPr>
          <w:rFonts w:ascii="Arial" w:eastAsia="Arial" w:hAnsi="Arial" w:cs="Arial"/>
          <w:color w:val="000000"/>
          <w:sz w:val="24"/>
          <w:szCs w:val="24"/>
        </w:rPr>
        <w:t xml:space="preserve">este órgano jurisdiccional. </w:t>
      </w:r>
    </w:p>
    <w:p w14:paraId="520282EC" w14:textId="77777777" w:rsidR="00DE7B67" w:rsidRDefault="00DE7B67">
      <w:pPr>
        <w:pBdr>
          <w:top w:val="nil"/>
          <w:left w:val="nil"/>
          <w:bottom w:val="nil"/>
          <w:right w:val="nil"/>
          <w:between w:val="nil"/>
        </w:pBdr>
        <w:rPr>
          <w:color w:val="000000"/>
        </w:rPr>
      </w:pPr>
    </w:p>
    <w:p w14:paraId="4565855B" w14:textId="77777777" w:rsidR="00DE7B67" w:rsidRDefault="00044E47">
      <w:pPr>
        <w:spacing w:line="360" w:lineRule="auto"/>
        <w:jc w:val="both"/>
        <w:rPr>
          <w:rFonts w:ascii="Arial" w:eastAsia="Arial" w:hAnsi="Arial" w:cs="Arial"/>
          <w:b/>
          <w:color w:val="000000"/>
          <w:sz w:val="24"/>
          <w:szCs w:val="24"/>
          <w:highlight w:val="white"/>
        </w:rPr>
      </w:pPr>
      <w:r>
        <w:rPr>
          <w:rFonts w:ascii="Arial" w:eastAsia="Arial" w:hAnsi="Arial" w:cs="Arial"/>
          <w:color w:val="000000"/>
          <w:sz w:val="24"/>
          <w:szCs w:val="24"/>
        </w:rPr>
        <w:t xml:space="preserve">Lo anterior debe ser así, pues tal y como se precisó en el marco normativo, ha sido criterio de la Sala Superior que además de analizar los elementos esenciales para actualizar la cosa juzgada </w:t>
      </w:r>
      <w:r>
        <w:rPr>
          <w:rFonts w:ascii="Arial" w:eastAsia="Arial" w:hAnsi="Arial" w:cs="Arial"/>
          <w:color w:val="000000"/>
          <w:sz w:val="24"/>
          <w:szCs w:val="24"/>
          <w:highlight w:val="white"/>
        </w:rPr>
        <w:t xml:space="preserve">-identidad de personas, cosas y causas- también debe valorarse el cuarto elemento que es, precisamente, que en la primera sentencia emitida se hubiesen analizado el total de las pretensiones y planteamientos, pues de no hacerlo, existe la necesidad de que el órgano jurisdiccional resolutor </w:t>
      </w:r>
      <w:r>
        <w:rPr>
          <w:rFonts w:ascii="Arial" w:eastAsia="Arial" w:hAnsi="Arial" w:cs="Arial"/>
          <w:b/>
          <w:color w:val="000000"/>
          <w:sz w:val="24"/>
          <w:szCs w:val="24"/>
          <w:highlight w:val="white"/>
        </w:rPr>
        <w:t>se pronuncie sobre la pretensión que resulte distinta</w:t>
      </w:r>
      <w:r>
        <w:rPr>
          <w:rFonts w:ascii="Arial" w:eastAsia="Arial" w:hAnsi="Arial" w:cs="Arial"/>
          <w:color w:val="000000"/>
          <w:sz w:val="24"/>
          <w:szCs w:val="24"/>
          <w:highlight w:val="white"/>
        </w:rPr>
        <w:t xml:space="preserve">, a fin de </w:t>
      </w:r>
      <w:r>
        <w:rPr>
          <w:rFonts w:ascii="Arial" w:eastAsia="Arial" w:hAnsi="Arial" w:cs="Arial"/>
          <w:b/>
          <w:color w:val="000000"/>
          <w:sz w:val="24"/>
          <w:szCs w:val="24"/>
          <w:highlight w:val="white"/>
        </w:rPr>
        <w:t xml:space="preserve">garantizar el derecho de acceso a la justicia de forma completa. </w:t>
      </w:r>
    </w:p>
    <w:p w14:paraId="62B9C3EE" w14:textId="77777777" w:rsidR="00DE7B67" w:rsidRDefault="00DE7B67">
      <w:pPr>
        <w:pBdr>
          <w:top w:val="nil"/>
          <w:left w:val="nil"/>
          <w:bottom w:val="nil"/>
          <w:right w:val="nil"/>
          <w:between w:val="nil"/>
        </w:pBdr>
        <w:rPr>
          <w:color w:val="000000"/>
          <w:highlight w:val="white"/>
        </w:rPr>
      </w:pPr>
    </w:p>
    <w:p w14:paraId="0B9E736E" w14:textId="77777777" w:rsidR="00DE7B67" w:rsidRDefault="00044E47">
      <w:pPr>
        <w:spacing w:line="360" w:lineRule="auto"/>
        <w:jc w:val="both"/>
        <w:rPr>
          <w:rFonts w:ascii="Arial" w:eastAsia="Arial" w:hAnsi="Arial" w:cs="Arial"/>
          <w:b/>
          <w:color w:val="000000"/>
          <w:sz w:val="24"/>
          <w:szCs w:val="24"/>
        </w:rPr>
      </w:pPr>
      <w:r>
        <w:rPr>
          <w:rFonts w:ascii="Arial" w:eastAsia="Arial" w:hAnsi="Arial" w:cs="Arial"/>
          <w:color w:val="000000"/>
          <w:sz w:val="24"/>
          <w:szCs w:val="24"/>
          <w:highlight w:val="white"/>
        </w:rPr>
        <w:t xml:space="preserve">De ahí que, a criterio de esta autoridad jurisdiccional, se estima que la pretensión de la parte denunciante relacionada </w:t>
      </w:r>
      <w:r>
        <w:rPr>
          <w:rFonts w:ascii="Arial" w:eastAsia="Arial" w:hAnsi="Arial" w:cs="Arial"/>
          <w:sz w:val="24"/>
          <w:szCs w:val="24"/>
          <w:highlight w:val="white"/>
        </w:rPr>
        <w:t xml:space="preserve">con la imposición de una </w:t>
      </w:r>
      <w:r>
        <w:rPr>
          <w:rFonts w:ascii="Arial" w:eastAsia="Arial" w:hAnsi="Arial" w:cs="Arial"/>
          <w:color w:val="000000"/>
          <w:sz w:val="24"/>
          <w:szCs w:val="24"/>
          <w:highlight w:val="white"/>
        </w:rPr>
        <w:t>sanci</w:t>
      </w:r>
      <w:r>
        <w:rPr>
          <w:rFonts w:ascii="Arial" w:eastAsia="Arial" w:hAnsi="Arial" w:cs="Arial"/>
          <w:sz w:val="24"/>
          <w:szCs w:val="24"/>
          <w:highlight w:val="white"/>
        </w:rPr>
        <w:t>ón</w:t>
      </w:r>
      <w:r>
        <w:rPr>
          <w:rFonts w:ascii="Arial" w:eastAsia="Arial" w:hAnsi="Arial" w:cs="Arial"/>
          <w:color w:val="000000"/>
          <w:sz w:val="24"/>
          <w:szCs w:val="24"/>
          <w:highlight w:val="white"/>
        </w:rPr>
        <w:t xml:space="preserve"> a los institutos políticos coaligados, se trata de un planteamiento que, como ya se adelantó, amerita un </w:t>
      </w:r>
      <w:r>
        <w:rPr>
          <w:rFonts w:ascii="Arial" w:eastAsia="Arial" w:hAnsi="Arial" w:cs="Arial"/>
          <w:b/>
          <w:color w:val="000000"/>
          <w:sz w:val="24"/>
          <w:szCs w:val="24"/>
          <w:highlight w:val="white"/>
        </w:rPr>
        <w:t>análisis adicional</w:t>
      </w:r>
      <w:r>
        <w:rPr>
          <w:rFonts w:ascii="Arial" w:eastAsia="Arial" w:hAnsi="Arial" w:cs="Arial"/>
          <w:color w:val="000000"/>
          <w:sz w:val="24"/>
          <w:szCs w:val="24"/>
          <w:highlight w:val="white"/>
        </w:rPr>
        <w:t xml:space="preserve"> al que se realizó en la sentencia (</w:t>
      </w:r>
      <w:r>
        <w:rPr>
          <w:rFonts w:ascii="Arial" w:eastAsia="Arial" w:hAnsi="Arial" w:cs="Arial"/>
          <w:color w:val="000000"/>
          <w:sz w:val="24"/>
          <w:szCs w:val="24"/>
        </w:rPr>
        <w:t xml:space="preserve">TEEA-PES-052/2022), pues la materia de tal controversia únicamente consistió en la posible responsabilidad de la candidata involucrada, </w:t>
      </w:r>
      <w:r>
        <w:rPr>
          <w:rFonts w:ascii="Arial" w:eastAsia="Arial" w:hAnsi="Arial" w:cs="Arial"/>
          <w:b/>
          <w:color w:val="000000"/>
          <w:sz w:val="24"/>
          <w:szCs w:val="24"/>
        </w:rPr>
        <w:t xml:space="preserve">sin que del procedimiento sancionador instaurado por el Instituto Local sea posible advertir que también se le hubiese cuestionado responsabilidad indirecta a los partidos políticos postulantes. </w:t>
      </w:r>
    </w:p>
    <w:p w14:paraId="58BF0100" w14:textId="77777777" w:rsidR="00DE7B67" w:rsidRDefault="00DE7B67">
      <w:pPr>
        <w:pBdr>
          <w:top w:val="nil"/>
          <w:left w:val="nil"/>
          <w:bottom w:val="nil"/>
          <w:right w:val="nil"/>
          <w:between w:val="nil"/>
        </w:pBdr>
        <w:rPr>
          <w:color w:val="000000"/>
        </w:rPr>
      </w:pPr>
    </w:p>
    <w:p w14:paraId="32964620" w14:textId="77777777" w:rsidR="00DE7B67" w:rsidRDefault="00044E47">
      <w:pP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Por tanto, el hecho de que en la presente controversia exista una pretensión </w:t>
      </w:r>
      <w:r>
        <w:rPr>
          <w:rFonts w:ascii="Arial" w:eastAsia="Arial" w:hAnsi="Arial" w:cs="Arial"/>
          <w:sz w:val="24"/>
          <w:szCs w:val="24"/>
        </w:rPr>
        <w:t>distinta</w:t>
      </w:r>
      <w:r>
        <w:rPr>
          <w:rFonts w:ascii="Arial" w:eastAsia="Arial" w:hAnsi="Arial" w:cs="Arial"/>
          <w:color w:val="000000"/>
          <w:sz w:val="24"/>
          <w:szCs w:val="24"/>
        </w:rPr>
        <w:t xml:space="preserve"> a la que fue materia de impugnación en la sentencia anterior, implica que este Tribunal se encuentra </w:t>
      </w:r>
      <w:r>
        <w:rPr>
          <w:rFonts w:ascii="Arial" w:eastAsia="Arial" w:hAnsi="Arial" w:cs="Arial"/>
          <w:sz w:val="24"/>
          <w:szCs w:val="24"/>
        </w:rPr>
        <w:t>obligado en</w:t>
      </w:r>
      <w:r>
        <w:rPr>
          <w:rFonts w:ascii="Arial" w:eastAsia="Arial" w:hAnsi="Arial" w:cs="Arial"/>
          <w:color w:val="000000"/>
          <w:sz w:val="24"/>
          <w:szCs w:val="24"/>
        </w:rPr>
        <w:t xml:space="preserve"> analizar la posible responsabilidad indirecta de los partidos políticos que conforman la coalición precisada. </w:t>
      </w:r>
    </w:p>
    <w:p w14:paraId="4A0D0D65" w14:textId="77777777" w:rsidR="00DE7B67" w:rsidRDefault="00DE7B67" w:rsidP="003D4D2E">
      <w:pPr>
        <w:pStyle w:val="Sinespaciado"/>
        <w:rPr>
          <w:rFonts w:eastAsia="Arial"/>
        </w:rPr>
      </w:pPr>
    </w:p>
    <w:p w14:paraId="71C7B860" w14:textId="77777777" w:rsidR="00DE7B67" w:rsidRDefault="00044E47">
      <w:pPr>
        <w:numPr>
          <w:ilvl w:val="0"/>
          <w:numId w:val="4"/>
        </w:numPr>
        <w:pBdr>
          <w:top w:val="nil"/>
          <w:left w:val="nil"/>
          <w:bottom w:val="nil"/>
          <w:right w:val="nil"/>
          <w:between w:val="nil"/>
        </w:pBdr>
        <w:tabs>
          <w:tab w:val="left" w:pos="426"/>
        </w:tabs>
        <w:ind w:left="0" w:firstLine="0"/>
        <w:jc w:val="both"/>
        <w:rPr>
          <w:color w:val="000000"/>
          <w:sz w:val="24"/>
          <w:szCs w:val="24"/>
        </w:rPr>
      </w:pPr>
      <w:r>
        <w:rPr>
          <w:rFonts w:ascii="Arial" w:eastAsia="Arial" w:hAnsi="Arial" w:cs="Arial"/>
          <w:b/>
          <w:color w:val="000000"/>
          <w:sz w:val="24"/>
          <w:szCs w:val="24"/>
        </w:rPr>
        <w:t>Apartado preliminar. Responsabilidad de los partidos integrantes de la coalición</w:t>
      </w:r>
    </w:p>
    <w:p w14:paraId="15F92F2B" w14:textId="77777777" w:rsidR="00DE7B67" w:rsidRDefault="00DE7B67">
      <w:pPr>
        <w:rPr>
          <w:sz w:val="24"/>
          <w:szCs w:val="24"/>
        </w:rPr>
      </w:pPr>
    </w:p>
    <w:p w14:paraId="13933481" w14:textId="77777777" w:rsidR="00DE7B67" w:rsidRDefault="00044E47">
      <w:pPr>
        <w:spacing w:line="360" w:lineRule="auto"/>
        <w:jc w:val="both"/>
        <w:rPr>
          <w:sz w:val="24"/>
          <w:szCs w:val="24"/>
        </w:rPr>
      </w:pPr>
      <w:r>
        <w:rPr>
          <w:rFonts w:ascii="Arial" w:eastAsia="Arial" w:hAnsi="Arial" w:cs="Arial"/>
          <w:color w:val="000000"/>
          <w:sz w:val="24"/>
          <w:szCs w:val="24"/>
        </w:rPr>
        <w:t>Del escrito de queja de Morena, se advierte que este les atribuye responsabilidad indirecta a los partidos políticos integrantes de la coalición “Va por Aguascalientes” -PAN, PRI y PRD-, por su falta de deber de cuidado, respecto de la inasistencia de su entonces candidata al cargo de la gubernatura del estado, al segundo debate obligatorio convocado por el Instituto Local.</w:t>
      </w:r>
    </w:p>
    <w:p w14:paraId="1151EEF7" w14:textId="77777777" w:rsidR="00DE7B67" w:rsidRDefault="00DE7B67">
      <w:pPr>
        <w:pBdr>
          <w:top w:val="nil"/>
          <w:left w:val="nil"/>
          <w:bottom w:val="nil"/>
          <w:right w:val="nil"/>
          <w:between w:val="nil"/>
        </w:pBdr>
        <w:rPr>
          <w:color w:val="000000"/>
        </w:rPr>
      </w:pPr>
    </w:p>
    <w:p w14:paraId="0F4932C1" w14:textId="77777777" w:rsidR="00DE7B67" w:rsidRDefault="00044E47">
      <w:pPr>
        <w:spacing w:line="360" w:lineRule="auto"/>
        <w:jc w:val="both"/>
        <w:rPr>
          <w:sz w:val="24"/>
          <w:szCs w:val="24"/>
        </w:rPr>
      </w:pPr>
      <w:r>
        <w:rPr>
          <w:rFonts w:ascii="Arial" w:eastAsia="Arial" w:hAnsi="Arial" w:cs="Arial"/>
          <w:color w:val="000000"/>
          <w:sz w:val="24"/>
          <w:szCs w:val="24"/>
        </w:rPr>
        <w:t xml:space="preserve">No obstante, este Tribunal Electoral estima que, previo a determinar la responsabilidad de los partidos políticos que integran la coalición en comento, es necesario analizar las circunstancias particulares de los hechos denunciados a fin de estar en posibilidad de </w:t>
      </w:r>
      <w:r>
        <w:rPr>
          <w:rFonts w:ascii="Arial" w:eastAsia="Arial" w:hAnsi="Arial" w:cs="Arial"/>
          <w:color w:val="000000"/>
          <w:sz w:val="24"/>
          <w:szCs w:val="24"/>
        </w:rPr>
        <w:lastRenderedPageBreak/>
        <w:t>atribuir la responsabilidad de cada instituto político de manera individual. Esto, de conformidad a lo dispuesto por la tesis XXV/2002, de la Sala Superior.</w:t>
      </w:r>
      <w:r>
        <w:rPr>
          <w:rFonts w:ascii="Arial" w:eastAsia="Arial" w:hAnsi="Arial" w:cs="Arial"/>
          <w:color w:val="000000"/>
          <w:sz w:val="24"/>
          <w:szCs w:val="24"/>
          <w:vertAlign w:val="superscript"/>
        </w:rPr>
        <w:footnoteReference w:id="8"/>
      </w:r>
    </w:p>
    <w:p w14:paraId="062CD25C" w14:textId="77777777" w:rsidR="00DE7B67" w:rsidRDefault="00DE7B67">
      <w:pPr>
        <w:pBdr>
          <w:top w:val="nil"/>
          <w:left w:val="nil"/>
          <w:bottom w:val="nil"/>
          <w:right w:val="nil"/>
          <w:between w:val="nil"/>
        </w:pBdr>
        <w:rPr>
          <w:color w:val="000000"/>
        </w:rPr>
      </w:pPr>
    </w:p>
    <w:p w14:paraId="008EC866" w14:textId="77777777" w:rsidR="00DE7B67" w:rsidRDefault="00044E47">
      <w:pPr>
        <w:spacing w:line="360" w:lineRule="auto"/>
        <w:jc w:val="both"/>
        <w:rPr>
          <w:sz w:val="24"/>
          <w:szCs w:val="24"/>
        </w:rPr>
      </w:pPr>
      <w:r>
        <w:rPr>
          <w:rFonts w:ascii="Arial" w:eastAsia="Arial" w:hAnsi="Arial" w:cs="Arial"/>
          <w:color w:val="000000"/>
          <w:sz w:val="24"/>
          <w:szCs w:val="24"/>
        </w:rPr>
        <w:t xml:space="preserve">En tal sentido, de las constancias que obran en el expediente, se observan las circunstancias siguientes: </w:t>
      </w:r>
      <w:r>
        <w:rPr>
          <w:rFonts w:ascii="Arial" w:eastAsia="Arial" w:hAnsi="Arial" w:cs="Arial"/>
          <w:b/>
          <w:i/>
          <w:color w:val="000000"/>
          <w:sz w:val="24"/>
          <w:szCs w:val="24"/>
        </w:rPr>
        <w:t xml:space="preserve">i) </w:t>
      </w:r>
      <w:r>
        <w:rPr>
          <w:rFonts w:ascii="Arial" w:eastAsia="Arial" w:hAnsi="Arial" w:cs="Arial"/>
          <w:color w:val="000000"/>
          <w:sz w:val="24"/>
          <w:szCs w:val="24"/>
        </w:rPr>
        <w:t xml:space="preserve">el PAN, PRI y PRD, fueron debidamente emplazados al presente procedimiento sancionador, sin embargo, los dos últimos no comparecieron a la audiencia de pruebas y alegatos y, por tanto, </w:t>
      </w:r>
      <w:proofErr w:type="spellStart"/>
      <w:r>
        <w:rPr>
          <w:rFonts w:ascii="Arial" w:eastAsia="Arial" w:hAnsi="Arial" w:cs="Arial"/>
          <w:b/>
          <w:i/>
          <w:color w:val="000000"/>
          <w:sz w:val="24"/>
          <w:szCs w:val="24"/>
        </w:rPr>
        <w:t>ii</w:t>
      </w:r>
      <w:proofErr w:type="spellEnd"/>
      <w:r>
        <w:rPr>
          <w:rFonts w:ascii="Arial" w:eastAsia="Arial" w:hAnsi="Arial" w:cs="Arial"/>
          <w:b/>
          <w:i/>
          <w:color w:val="000000"/>
          <w:sz w:val="24"/>
          <w:szCs w:val="24"/>
        </w:rPr>
        <w:t xml:space="preserve">) </w:t>
      </w:r>
      <w:r>
        <w:rPr>
          <w:rFonts w:ascii="Arial" w:eastAsia="Arial" w:hAnsi="Arial" w:cs="Arial"/>
          <w:color w:val="000000"/>
          <w:sz w:val="24"/>
          <w:szCs w:val="24"/>
        </w:rPr>
        <w:t xml:space="preserve">el PRI </w:t>
      </w:r>
      <w:r>
        <w:rPr>
          <w:rFonts w:ascii="Arial" w:eastAsia="Arial" w:hAnsi="Arial" w:cs="Arial"/>
          <w:sz w:val="24"/>
          <w:szCs w:val="24"/>
        </w:rPr>
        <w:t xml:space="preserve">y </w:t>
      </w:r>
      <w:r>
        <w:rPr>
          <w:rFonts w:ascii="Arial" w:eastAsia="Arial" w:hAnsi="Arial" w:cs="Arial"/>
          <w:color w:val="000000"/>
          <w:sz w:val="24"/>
          <w:szCs w:val="24"/>
        </w:rPr>
        <w:t>PRD</w:t>
      </w:r>
      <w:r>
        <w:rPr>
          <w:rFonts w:ascii="Arial" w:eastAsia="Arial" w:hAnsi="Arial" w:cs="Arial"/>
          <w:sz w:val="24"/>
          <w:szCs w:val="24"/>
        </w:rPr>
        <w:t xml:space="preserve"> no </w:t>
      </w:r>
      <w:r>
        <w:rPr>
          <w:rFonts w:ascii="Arial" w:eastAsia="Arial" w:hAnsi="Arial" w:cs="Arial"/>
          <w:color w:val="000000"/>
          <w:sz w:val="24"/>
          <w:szCs w:val="24"/>
        </w:rPr>
        <w:t>aportaron pruebas ni presentaron alegatos.</w:t>
      </w:r>
    </w:p>
    <w:p w14:paraId="00AAB4A5" w14:textId="77777777" w:rsidR="00DE7B67" w:rsidRDefault="00DE7B67">
      <w:pPr>
        <w:pBdr>
          <w:top w:val="nil"/>
          <w:left w:val="nil"/>
          <w:bottom w:val="nil"/>
          <w:right w:val="nil"/>
          <w:between w:val="nil"/>
        </w:pBdr>
        <w:rPr>
          <w:color w:val="000000"/>
        </w:rPr>
      </w:pPr>
    </w:p>
    <w:p w14:paraId="2FE0CB47" w14:textId="77777777" w:rsidR="00DE7B67" w:rsidRDefault="00044E47">
      <w:pPr>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De lo anterior, este órgano jurisdiccional estima que si bien, tales institutos políticos, en principio, </w:t>
      </w:r>
      <w:r>
        <w:rPr>
          <w:rFonts w:ascii="Arial" w:eastAsia="Arial" w:hAnsi="Arial" w:cs="Arial"/>
          <w:b/>
          <w:color w:val="000000"/>
          <w:sz w:val="24"/>
          <w:szCs w:val="24"/>
        </w:rPr>
        <w:t>gozan de presunción de inocencia</w:t>
      </w:r>
      <w:r>
        <w:rPr>
          <w:rFonts w:ascii="Arial" w:eastAsia="Arial" w:hAnsi="Arial" w:cs="Arial"/>
          <w:color w:val="000000"/>
          <w:sz w:val="24"/>
          <w:szCs w:val="24"/>
        </w:rPr>
        <w:t>, lo cierto es que el hecho de que la autoridad administrativa los hubiese emplazado al procedimiento</w:t>
      </w:r>
      <w:r>
        <w:rPr>
          <w:rFonts w:ascii="Arial" w:eastAsia="Arial" w:hAnsi="Arial" w:cs="Arial"/>
          <w:sz w:val="24"/>
          <w:szCs w:val="24"/>
        </w:rPr>
        <w:t xml:space="preserve">, acto en el cual se les dio a conocer el </w:t>
      </w:r>
      <w:r>
        <w:rPr>
          <w:rFonts w:ascii="Arial" w:eastAsia="Arial" w:hAnsi="Arial" w:cs="Arial"/>
          <w:color w:val="000000"/>
          <w:sz w:val="24"/>
          <w:szCs w:val="24"/>
        </w:rPr>
        <w:t xml:space="preserve">escrito de queja, implica que sea posible determinar que estos </w:t>
      </w:r>
      <w:r>
        <w:rPr>
          <w:rFonts w:ascii="Arial" w:eastAsia="Arial" w:hAnsi="Arial" w:cs="Arial"/>
          <w:b/>
          <w:color w:val="000000"/>
          <w:sz w:val="24"/>
          <w:szCs w:val="24"/>
        </w:rPr>
        <w:t>conocían la conducta infractora</w:t>
      </w:r>
      <w:r>
        <w:rPr>
          <w:rFonts w:ascii="Arial" w:eastAsia="Arial" w:hAnsi="Arial" w:cs="Arial"/>
          <w:color w:val="000000"/>
          <w:sz w:val="24"/>
          <w:szCs w:val="24"/>
        </w:rPr>
        <w:t xml:space="preserve">, </w:t>
      </w:r>
      <w:r>
        <w:rPr>
          <w:rFonts w:ascii="Arial" w:eastAsia="Arial" w:hAnsi="Arial" w:cs="Arial"/>
          <w:b/>
          <w:color w:val="000000"/>
          <w:sz w:val="24"/>
          <w:szCs w:val="24"/>
        </w:rPr>
        <w:t xml:space="preserve">asimismo, que al momento de la audiencia de pruebas y alegatos, tenían la oportunidad de aportar las pruebas </w:t>
      </w:r>
      <w:r>
        <w:rPr>
          <w:rFonts w:ascii="Arial" w:eastAsia="Arial" w:hAnsi="Arial" w:cs="Arial"/>
          <w:color w:val="000000"/>
          <w:sz w:val="24"/>
          <w:szCs w:val="24"/>
        </w:rPr>
        <w:t>que estimaran necesarias o bien, rendir sus alegatos por ser el momento procesal oportuno para negar o deslindarse de los hechos denunciados, situación que en el caso no ocurrió, ya que, como se adelantó, tales partidos no comparecieron a dicha audiencia. </w:t>
      </w:r>
    </w:p>
    <w:p w14:paraId="5DE31DA5" w14:textId="77777777" w:rsidR="00DE7B67" w:rsidRDefault="00DE7B67">
      <w:pPr>
        <w:pBdr>
          <w:top w:val="nil"/>
          <w:left w:val="nil"/>
          <w:bottom w:val="nil"/>
          <w:right w:val="nil"/>
          <w:between w:val="nil"/>
        </w:pBdr>
        <w:rPr>
          <w:color w:val="000000"/>
        </w:rPr>
      </w:pPr>
    </w:p>
    <w:p w14:paraId="6CF532FF" w14:textId="77777777" w:rsidR="00DE7B67" w:rsidRDefault="00044E47">
      <w:pPr>
        <w:spacing w:line="360" w:lineRule="auto"/>
        <w:jc w:val="both"/>
        <w:rPr>
          <w:sz w:val="24"/>
          <w:szCs w:val="24"/>
        </w:rPr>
      </w:pPr>
      <w:r>
        <w:rPr>
          <w:rFonts w:ascii="Arial" w:eastAsia="Arial" w:hAnsi="Arial" w:cs="Arial"/>
          <w:color w:val="000000"/>
          <w:sz w:val="24"/>
          <w:szCs w:val="24"/>
        </w:rPr>
        <w:t>De ahí que, este Tribunal Electoral considere que al haberse acreditado que ambos partidos conocieron los hechos cuestionados y, a su vez, que, teniendo posibilidad real, objetiva y material de cumplir con el deber de cuidado, en concreto, para evitar la inasistencia de la candidata denunciada al segundo debate obligatorio de la autoridad administrativa, lo pertinente es</w:t>
      </w:r>
      <w:r>
        <w:rPr>
          <w:rFonts w:ascii="Arial" w:eastAsia="Arial" w:hAnsi="Arial" w:cs="Arial"/>
          <w:b/>
          <w:color w:val="000000"/>
          <w:sz w:val="24"/>
          <w:szCs w:val="24"/>
        </w:rPr>
        <w:t xml:space="preserve"> </w:t>
      </w:r>
      <w:r>
        <w:rPr>
          <w:rFonts w:ascii="Arial" w:eastAsia="Arial" w:hAnsi="Arial" w:cs="Arial"/>
          <w:color w:val="000000"/>
          <w:sz w:val="24"/>
          <w:szCs w:val="24"/>
        </w:rPr>
        <w:t xml:space="preserve">acreditar </w:t>
      </w:r>
      <w:r>
        <w:rPr>
          <w:rFonts w:ascii="Arial" w:eastAsia="Arial" w:hAnsi="Arial" w:cs="Arial"/>
          <w:b/>
          <w:color w:val="000000"/>
          <w:sz w:val="24"/>
          <w:szCs w:val="24"/>
        </w:rPr>
        <w:t xml:space="preserve">responsabilidad indirecta a los partidos políticos PRI y PRD por </w:t>
      </w:r>
      <w:r>
        <w:rPr>
          <w:rFonts w:ascii="Arial" w:eastAsia="Arial" w:hAnsi="Arial" w:cs="Arial"/>
          <w:b/>
          <w:i/>
          <w:color w:val="000000"/>
          <w:sz w:val="24"/>
          <w:szCs w:val="24"/>
        </w:rPr>
        <w:t>culpa in vigilando.</w:t>
      </w:r>
      <w:r>
        <w:rPr>
          <w:rFonts w:ascii="Arial" w:eastAsia="Arial" w:hAnsi="Arial" w:cs="Arial"/>
          <w:i/>
          <w:color w:val="000000"/>
          <w:sz w:val="24"/>
          <w:szCs w:val="24"/>
          <w:vertAlign w:val="superscript"/>
        </w:rPr>
        <w:footnoteReference w:id="9"/>
      </w:r>
    </w:p>
    <w:p w14:paraId="15B23FF3" w14:textId="77777777" w:rsidR="00DE7B67" w:rsidRDefault="00DE7B67"/>
    <w:p w14:paraId="724C028C" w14:textId="77777777" w:rsidR="00DE7B67" w:rsidRDefault="00044E47">
      <w:pPr>
        <w:spacing w:line="360" w:lineRule="auto"/>
        <w:jc w:val="both"/>
        <w:rPr>
          <w:rFonts w:ascii="Arial" w:eastAsia="Arial" w:hAnsi="Arial" w:cs="Arial"/>
          <w:sz w:val="24"/>
          <w:szCs w:val="24"/>
        </w:rPr>
      </w:pPr>
      <w:r>
        <w:rPr>
          <w:rFonts w:ascii="Arial" w:eastAsia="Arial" w:hAnsi="Arial" w:cs="Arial"/>
          <w:sz w:val="24"/>
          <w:szCs w:val="24"/>
        </w:rPr>
        <w:t xml:space="preserve">Ahora bien, en lo que respecta al </w:t>
      </w:r>
      <w:r>
        <w:rPr>
          <w:rFonts w:ascii="Arial" w:eastAsia="Arial" w:hAnsi="Arial" w:cs="Arial"/>
          <w:b/>
          <w:sz w:val="24"/>
          <w:szCs w:val="24"/>
        </w:rPr>
        <w:t>PAN</w:t>
      </w:r>
      <w:r>
        <w:rPr>
          <w:rFonts w:ascii="Arial" w:eastAsia="Arial" w:hAnsi="Arial" w:cs="Arial"/>
          <w:sz w:val="24"/>
          <w:szCs w:val="24"/>
        </w:rPr>
        <w:t xml:space="preserve">, a pesar de que sí compareció a la audiencia de pruebas y alegatos, sus argumentaciones estuvieron encaminadas a justificar la inasistencia de su candidata al debate en comento, por ello, con independencia de los razonamientos expuestos, realiza un reconocimiento y consentimiento expreso de los hechos denunciados. De ahí que sea posible acreditar, de igual manera, </w:t>
      </w:r>
      <w:r>
        <w:rPr>
          <w:rFonts w:ascii="Arial" w:eastAsia="Arial" w:hAnsi="Arial" w:cs="Arial"/>
          <w:b/>
          <w:sz w:val="24"/>
          <w:szCs w:val="24"/>
        </w:rPr>
        <w:t xml:space="preserve">responsabilidad indirecta por culpa </w:t>
      </w:r>
      <w:r>
        <w:rPr>
          <w:rFonts w:ascii="Arial" w:eastAsia="Arial" w:hAnsi="Arial" w:cs="Arial"/>
          <w:b/>
          <w:i/>
          <w:sz w:val="24"/>
          <w:szCs w:val="24"/>
        </w:rPr>
        <w:t xml:space="preserve">in vigilando </w:t>
      </w:r>
      <w:r>
        <w:rPr>
          <w:rFonts w:ascii="Arial" w:eastAsia="Arial" w:hAnsi="Arial" w:cs="Arial"/>
          <w:sz w:val="24"/>
          <w:szCs w:val="24"/>
        </w:rPr>
        <w:t xml:space="preserve">al referido instituto político, derivado de la omisión realizada por su entonces candidata a la gubernatura del estado. </w:t>
      </w:r>
    </w:p>
    <w:p w14:paraId="690ABAAE" w14:textId="77777777" w:rsidR="00DE7B67" w:rsidRDefault="00DE7B67">
      <w:pPr>
        <w:pBdr>
          <w:top w:val="nil"/>
          <w:left w:val="nil"/>
          <w:bottom w:val="nil"/>
          <w:right w:val="nil"/>
          <w:between w:val="nil"/>
        </w:pBdr>
        <w:rPr>
          <w:color w:val="000000"/>
        </w:rPr>
      </w:pPr>
    </w:p>
    <w:p w14:paraId="5BA88EEF" w14:textId="77777777" w:rsidR="00DE7B67" w:rsidRDefault="00044E47">
      <w:pPr>
        <w:numPr>
          <w:ilvl w:val="0"/>
          <w:numId w:val="6"/>
        </w:numPr>
        <w:pBdr>
          <w:top w:val="nil"/>
          <w:left w:val="nil"/>
          <w:bottom w:val="nil"/>
          <w:right w:val="nil"/>
          <w:between w:val="nil"/>
        </w:pBdr>
        <w:tabs>
          <w:tab w:val="left" w:pos="426"/>
        </w:tabs>
        <w:spacing w:line="360" w:lineRule="auto"/>
        <w:ind w:left="0" w:firstLine="0"/>
        <w:jc w:val="both"/>
        <w:rPr>
          <w:rFonts w:ascii="Arial" w:eastAsia="Arial" w:hAnsi="Arial" w:cs="Arial"/>
          <w:color w:val="000000"/>
          <w:sz w:val="24"/>
          <w:szCs w:val="24"/>
        </w:rPr>
      </w:pPr>
      <w:r>
        <w:rPr>
          <w:rFonts w:ascii="Arial" w:eastAsia="Arial" w:hAnsi="Arial" w:cs="Arial"/>
          <w:b/>
          <w:color w:val="000000"/>
          <w:sz w:val="24"/>
          <w:szCs w:val="24"/>
          <w:u w:val="single"/>
        </w:rPr>
        <w:lastRenderedPageBreak/>
        <w:t>Culpa in vigilando</w:t>
      </w:r>
    </w:p>
    <w:p w14:paraId="6C804BFA" w14:textId="77777777" w:rsidR="00DE7B67" w:rsidRDefault="00DE7B67">
      <w:pPr>
        <w:pBdr>
          <w:top w:val="nil"/>
          <w:left w:val="nil"/>
          <w:bottom w:val="nil"/>
          <w:right w:val="nil"/>
          <w:between w:val="nil"/>
        </w:pBdr>
        <w:rPr>
          <w:color w:val="000000"/>
        </w:rPr>
      </w:pPr>
    </w:p>
    <w:p w14:paraId="10EF97E8" w14:textId="77777777" w:rsidR="00DE7B67" w:rsidRDefault="00044E47">
      <w:pPr>
        <w:pBdr>
          <w:top w:val="nil"/>
          <w:left w:val="nil"/>
          <w:bottom w:val="nil"/>
          <w:right w:val="nil"/>
          <w:between w:val="nil"/>
        </w:pBdr>
        <w:tabs>
          <w:tab w:val="left" w:pos="426"/>
        </w:tabs>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Este Tribunal Electoral determina la </w:t>
      </w:r>
      <w:r>
        <w:rPr>
          <w:rFonts w:ascii="Arial" w:eastAsia="Arial" w:hAnsi="Arial" w:cs="Arial"/>
          <w:b/>
          <w:color w:val="000000"/>
          <w:sz w:val="24"/>
          <w:szCs w:val="24"/>
        </w:rPr>
        <w:t>existencia</w:t>
      </w:r>
      <w:r>
        <w:rPr>
          <w:rFonts w:ascii="Arial" w:eastAsia="Arial" w:hAnsi="Arial" w:cs="Arial"/>
          <w:color w:val="000000"/>
          <w:sz w:val="24"/>
          <w:szCs w:val="24"/>
        </w:rPr>
        <w:t xml:space="preserve"> de la infracción atribuida a los partidos políticos PAN, PRI y PRD, integrantes de la coalición “Va por Aguascalientes”, relacionada con la </w:t>
      </w:r>
      <w:r>
        <w:rPr>
          <w:rFonts w:ascii="Arial" w:eastAsia="Arial" w:hAnsi="Arial" w:cs="Arial"/>
          <w:b/>
          <w:color w:val="000000"/>
          <w:sz w:val="24"/>
          <w:szCs w:val="24"/>
        </w:rPr>
        <w:t>omisión</w:t>
      </w:r>
      <w:r>
        <w:rPr>
          <w:rFonts w:ascii="Arial" w:eastAsia="Arial" w:hAnsi="Arial" w:cs="Arial"/>
          <w:color w:val="000000"/>
          <w:sz w:val="24"/>
          <w:szCs w:val="24"/>
        </w:rPr>
        <w:t xml:space="preserve"> a su deber de cuidado en cuanto a la omisión realizada por su entonces candidata a la gubernatura del estado de Aguascalientes, de manera específica, su inasistencia al segundo debate obligatorio del Instituto Local, infracción acreditada en la sentencia firme y definitiva del asunto (TEEA-PES-052/2022), </w:t>
      </w:r>
      <w:r>
        <w:rPr>
          <w:rFonts w:ascii="Arial" w:eastAsia="Arial" w:hAnsi="Arial" w:cs="Arial"/>
          <w:sz w:val="24"/>
          <w:szCs w:val="24"/>
        </w:rPr>
        <w:t>y, por tanto, vulneraron el primer párrafo, inciso a), del artículo 25, de la Ley General de Partidos Políticos.</w:t>
      </w:r>
      <w:r>
        <w:rPr>
          <w:vertAlign w:val="superscript"/>
        </w:rPr>
        <w:footnoteReference w:id="10"/>
      </w:r>
    </w:p>
    <w:p w14:paraId="52A349EA" w14:textId="77777777" w:rsidR="00DE7B67" w:rsidRDefault="00DE7B67">
      <w:pPr>
        <w:pBdr>
          <w:top w:val="nil"/>
          <w:left w:val="nil"/>
          <w:bottom w:val="nil"/>
          <w:right w:val="nil"/>
          <w:between w:val="nil"/>
        </w:pBdr>
        <w:rPr>
          <w:color w:val="000000"/>
        </w:rPr>
      </w:pPr>
    </w:p>
    <w:p w14:paraId="5D577D68" w14:textId="77777777" w:rsidR="00DE7B67" w:rsidRDefault="00044E47">
      <w:pPr>
        <w:tabs>
          <w:tab w:val="left" w:pos="5461"/>
        </w:tabs>
        <w:spacing w:after="280" w:line="360" w:lineRule="auto"/>
        <w:jc w:val="both"/>
        <w:rPr>
          <w:rFonts w:ascii="Arial" w:eastAsia="Arial" w:hAnsi="Arial" w:cs="Arial"/>
          <w:sz w:val="24"/>
          <w:szCs w:val="24"/>
        </w:rPr>
      </w:pPr>
      <w:r>
        <w:rPr>
          <w:rFonts w:ascii="Arial" w:eastAsia="Arial" w:hAnsi="Arial" w:cs="Arial"/>
          <w:sz w:val="24"/>
          <w:szCs w:val="24"/>
        </w:rPr>
        <w:t xml:space="preserve">Lo anterior es así, porque del análisis integral de los hechos denunciados, así como de las pruebas ofrecidas, se concluyó que los partidos políticos PAN, PRI y PRD, incumplieron su deber de cuidar que su entonces candidata María Teresa Jiménez Esquivel, asistiera al segundo debate obligatorio convocado por el Instituto Local. </w:t>
      </w:r>
    </w:p>
    <w:p w14:paraId="0072F21A" w14:textId="77777777" w:rsidR="00DE7B67" w:rsidRDefault="00044E47">
      <w:pPr>
        <w:tabs>
          <w:tab w:val="left" w:pos="5461"/>
        </w:tabs>
        <w:spacing w:line="360" w:lineRule="auto"/>
        <w:jc w:val="both"/>
        <w:rPr>
          <w:rFonts w:ascii="Arial" w:eastAsia="Arial" w:hAnsi="Arial" w:cs="Arial"/>
          <w:sz w:val="24"/>
          <w:szCs w:val="24"/>
        </w:rPr>
      </w:pPr>
      <w:r>
        <w:rPr>
          <w:rFonts w:ascii="Arial" w:eastAsia="Arial" w:hAnsi="Arial" w:cs="Arial"/>
          <w:sz w:val="24"/>
          <w:szCs w:val="24"/>
        </w:rPr>
        <w:t>Esto, tomando en cuenta que los referidos institutos políticos tienen el deber de garantizar que las actividades realizadas por sus candidatos y candidatas cumplan con las reglas previstas en el marco normativo vigente.</w:t>
      </w:r>
      <w:r>
        <w:rPr>
          <w:rFonts w:ascii="Arial" w:eastAsia="Arial" w:hAnsi="Arial" w:cs="Arial"/>
          <w:sz w:val="24"/>
          <w:szCs w:val="24"/>
          <w:vertAlign w:val="superscript"/>
        </w:rPr>
        <w:footnoteReference w:id="11"/>
      </w:r>
      <w:r>
        <w:rPr>
          <w:rFonts w:ascii="Arial" w:eastAsia="Arial" w:hAnsi="Arial" w:cs="Arial"/>
          <w:sz w:val="24"/>
          <w:szCs w:val="24"/>
        </w:rPr>
        <w:t xml:space="preserve"> </w:t>
      </w:r>
    </w:p>
    <w:p w14:paraId="54BE7176" w14:textId="77777777" w:rsidR="00DE7B67" w:rsidRDefault="00DE7B67">
      <w:pPr>
        <w:pBdr>
          <w:top w:val="nil"/>
          <w:left w:val="nil"/>
          <w:bottom w:val="nil"/>
          <w:right w:val="nil"/>
          <w:between w:val="nil"/>
        </w:pBdr>
        <w:rPr>
          <w:color w:val="000000"/>
        </w:rPr>
      </w:pPr>
    </w:p>
    <w:p w14:paraId="2913A78B" w14:textId="77777777" w:rsidR="00DE7B67" w:rsidRDefault="00044E47">
      <w:pPr>
        <w:tabs>
          <w:tab w:val="left" w:pos="5461"/>
        </w:tabs>
        <w:spacing w:line="360" w:lineRule="auto"/>
        <w:jc w:val="both"/>
        <w:rPr>
          <w:rFonts w:ascii="Arial" w:eastAsia="Arial" w:hAnsi="Arial" w:cs="Arial"/>
          <w:sz w:val="24"/>
          <w:szCs w:val="24"/>
        </w:rPr>
      </w:pPr>
      <w:r>
        <w:rPr>
          <w:rFonts w:ascii="Arial" w:eastAsia="Arial" w:hAnsi="Arial" w:cs="Arial"/>
          <w:sz w:val="24"/>
          <w:szCs w:val="24"/>
        </w:rPr>
        <w:t xml:space="preserve">Por tanto, este órgano jurisdiccional considera necesario imponer a dichos institutos políticos una sanción consistente en una </w:t>
      </w:r>
      <w:r>
        <w:rPr>
          <w:rFonts w:ascii="Arial" w:eastAsia="Arial" w:hAnsi="Arial" w:cs="Arial"/>
          <w:b/>
          <w:sz w:val="24"/>
          <w:szCs w:val="24"/>
          <w:u w:val="single"/>
        </w:rPr>
        <w:t>amonestación pública</w:t>
      </w:r>
      <w:r>
        <w:rPr>
          <w:rFonts w:ascii="Arial" w:eastAsia="Arial" w:hAnsi="Arial" w:cs="Arial"/>
          <w:sz w:val="24"/>
          <w:szCs w:val="24"/>
        </w:rPr>
        <w:t>, en atención a su omisión de cuidar y vigilar que su candidata no vulnerara la normativa. Ello de conformidad al artículo 242, segundo párrafo, fracción I, del Código Electoral.</w:t>
      </w:r>
      <w:r>
        <w:rPr>
          <w:rFonts w:ascii="Arial" w:eastAsia="Arial" w:hAnsi="Arial" w:cs="Arial"/>
          <w:sz w:val="24"/>
          <w:szCs w:val="24"/>
          <w:vertAlign w:val="superscript"/>
        </w:rPr>
        <w:footnoteReference w:id="12"/>
      </w:r>
    </w:p>
    <w:p w14:paraId="720F3F1C" w14:textId="77777777" w:rsidR="00DE7B67" w:rsidRDefault="00044E47">
      <w:pPr>
        <w:numPr>
          <w:ilvl w:val="0"/>
          <w:numId w:val="1"/>
        </w:numPr>
        <w:pBdr>
          <w:top w:val="nil"/>
          <w:left w:val="nil"/>
          <w:bottom w:val="nil"/>
          <w:right w:val="nil"/>
          <w:between w:val="nil"/>
        </w:pBdr>
        <w:tabs>
          <w:tab w:val="left" w:pos="284"/>
        </w:tabs>
        <w:spacing w:before="240" w:line="360" w:lineRule="auto"/>
        <w:ind w:left="0" w:firstLine="0"/>
        <w:jc w:val="both"/>
        <w:rPr>
          <w:rFonts w:ascii="Arial" w:eastAsia="Arial" w:hAnsi="Arial" w:cs="Arial"/>
          <w:color w:val="000000"/>
          <w:sz w:val="24"/>
          <w:szCs w:val="24"/>
        </w:rPr>
      </w:pPr>
      <w:r>
        <w:rPr>
          <w:rFonts w:ascii="Arial" w:eastAsia="Arial" w:hAnsi="Arial" w:cs="Arial"/>
          <w:b/>
          <w:color w:val="000000"/>
          <w:sz w:val="24"/>
          <w:szCs w:val="24"/>
          <w:u w:val="single"/>
        </w:rPr>
        <w:t>Publicidad de la sanción.</w:t>
      </w:r>
      <w:r>
        <w:rPr>
          <w:rFonts w:ascii="Arial" w:eastAsia="Arial" w:hAnsi="Arial" w:cs="Arial"/>
          <w:color w:val="000000"/>
          <w:sz w:val="24"/>
          <w:szCs w:val="24"/>
        </w:rPr>
        <w:t xml:space="preserve"> </w:t>
      </w:r>
      <w:r>
        <w:rPr>
          <w:rFonts w:ascii="Arial" w:eastAsia="Arial" w:hAnsi="Arial" w:cs="Arial"/>
          <w:b/>
          <w:color w:val="000000"/>
          <w:sz w:val="24"/>
          <w:szCs w:val="24"/>
        </w:rPr>
        <w:t xml:space="preserve">Publíquese esta sentencia en el Catálogo de Sujetos Sancionados </w:t>
      </w:r>
      <w:r>
        <w:rPr>
          <w:rFonts w:ascii="Arial" w:eastAsia="Arial" w:hAnsi="Arial" w:cs="Arial"/>
          <w:color w:val="000000"/>
          <w:sz w:val="24"/>
          <w:szCs w:val="24"/>
        </w:rPr>
        <w:t>en los Procedimientos Especiales Sancionadores de la página de Internet de este Tribunal Electoral.</w:t>
      </w:r>
    </w:p>
    <w:p w14:paraId="4DF4F72D" w14:textId="77777777" w:rsidR="00DE7B67" w:rsidRDefault="00DE7B67">
      <w:pPr>
        <w:jc w:val="both"/>
        <w:rPr>
          <w:rFonts w:ascii="Arial" w:eastAsia="Arial" w:hAnsi="Arial" w:cs="Arial"/>
          <w:sz w:val="24"/>
          <w:szCs w:val="24"/>
        </w:rPr>
      </w:pPr>
    </w:p>
    <w:p w14:paraId="49BB69AA" w14:textId="77777777" w:rsidR="00DE7B67" w:rsidRDefault="00044E47">
      <w:pPr>
        <w:spacing w:line="360" w:lineRule="auto"/>
        <w:rPr>
          <w:rFonts w:ascii="Arial" w:eastAsia="Arial" w:hAnsi="Arial" w:cs="Arial"/>
          <w:sz w:val="24"/>
          <w:szCs w:val="24"/>
        </w:rPr>
      </w:pPr>
      <w:r>
        <w:rPr>
          <w:rFonts w:ascii="Arial" w:eastAsia="Arial" w:hAnsi="Arial" w:cs="Arial"/>
          <w:sz w:val="24"/>
          <w:szCs w:val="24"/>
        </w:rPr>
        <w:t>Por lo expuesto en la presente sentencia, se establecen los siguientes:</w:t>
      </w:r>
    </w:p>
    <w:p w14:paraId="35D18350" w14:textId="77777777" w:rsidR="00DE7B67" w:rsidRDefault="00DE7B67">
      <w:pPr>
        <w:tabs>
          <w:tab w:val="left" w:pos="5461"/>
        </w:tabs>
        <w:spacing w:line="360" w:lineRule="auto"/>
        <w:jc w:val="both"/>
        <w:rPr>
          <w:rFonts w:ascii="Arial" w:eastAsia="Arial" w:hAnsi="Arial" w:cs="Arial"/>
          <w:sz w:val="24"/>
          <w:szCs w:val="24"/>
        </w:rPr>
      </w:pPr>
    </w:p>
    <w:p w14:paraId="41A764C3" w14:textId="77777777" w:rsidR="00DE7B67" w:rsidRDefault="00044E47">
      <w:pPr>
        <w:spacing w:line="360" w:lineRule="auto"/>
        <w:jc w:val="center"/>
        <w:rPr>
          <w:rFonts w:ascii="Arial" w:eastAsia="Arial" w:hAnsi="Arial" w:cs="Arial"/>
          <w:b/>
          <w:sz w:val="24"/>
          <w:szCs w:val="24"/>
        </w:rPr>
      </w:pPr>
      <w:r>
        <w:rPr>
          <w:rFonts w:ascii="Arial" w:eastAsia="Arial" w:hAnsi="Arial" w:cs="Arial"/>
          <w:b/>
          <w:sz w:val="24"/>
          <w:szCs w:val="24"/>
        </w:rPr>
        <w:t>VII. Resolutivos:</w:t>
      </w:r>
    </w:p>
    <w:p w14:paraId="4DD1585E" w14:textId="77777777" w:rsidR="00DE7B67" w:rsidRDefault="00DE7B67">
      <w:pPr>
        <w:pBdr>
          <w:top w:val="nil"/>
          <w:left w:val="nil"/>
          <w:bottom w:val="nil"/>
          <w:right w:val="nil"/>
          <w:between w:val="nil"/>
        </w:pBdr>
        <w:rPr>
          <w:color w:val="000000"/>
        </w:rPr>
      </w:pPr>
    </w:p>
    <w:p w14:paraId="7337EB95" w14:textId="77777777" w:rsidR="00DE7B67" w:rsidRDefault="00044E47">
      <w:pPr>
        <w:spacing w:line="360" w:lineRule="auto"/>
        <w:jc w:val="both"/>
        <w:rPr>
          <w:rFonts w:ascii="Arial" w:eastAsia="Arial" w:hAnsi="Arial" w:cs="Arial"/>
          <w:sz w:val="24"/>
          <w:szCs w:val="24"/>
        </w:rPr>
      </w:pPr>
      <w:r>
        <w:rPr>
          <w:rFonts w:ascii="Arial" w:eastAsia="Arial" w:hAnsi="Arial" w:cs="Arial"/>
          <w:b/>
          <w:sz w:val="24"/>
          <w:szCs w:val="24"/>
        </w:rPr>
        <w:t xml:space="preserve">Primero. </w:t>
      </w:r>
      <w:r>
        <w:rPr>
          <w:rFonts w:ascii="Arial" w:eastAsia="Arial" w:hAnsi="Arial" w:cs="Arial"/>
          <w:sz w:val="24"/>
          <w:szCs w:val="24"/>
        </w:rPr>
        <w:t xml:space="preserve">Se declara la </w:t>
      </w:r>
      <w:r>
        <w:rPr>
          <w:rFonts w:ascii="Arial" w:eastAsia="Arial" w:hAnsi="Arial" w:cs="Arial"/>
          <w:b/>
          <w:sz w:val="24"/>
          <w:szCs w:val="24"/>
        </w:rPr>
        <w:t>inexistencia</w:t>
      </w:r>
      <w:r>
        <w:rPr>
          <w:rFonts w:ascii="Arial" w:eastAsia="Arial" w:hAnsi="Arial" w:cs="Arial"/>
          <w:sz w:val="24"/>
          <w:szCs w:val="24"/>
        </w:rPr>
        <w:t xml:space="preserve"> de</w:t>
      </w:r>
      <w:r>
        <w:rPr>
          <w:rFonts w:ascii="Arial" w:eastAsia="Arial" w:hAnsi="Arial" w:cs="Arial"/>
          <w:b/>
          <w:sz w:val="24"/>
          <w:szCs w:val="24"/>
        </w:rPr>
        <w:t xml:space="preserve"> </w:t>
      </w:r>
      <w:r>
        <w:rPr>
          <w:rFonts w:ascii="Arial" w:eastAsia="Arial" w:hAnsi="Arial" w:cs="Arial"/>
          <w:sz w:val="24"/>
          <w:szCs w:val="24"/>
        </w:rPr>
        <w:t>la infracción atribuida a María Teresa Jiménez Esquivel.</w:t>
      </w:r>
    </w:p>
    <w:p w14:paraId="4355A060" w14:textId="77777777" w:rsidR="00DE7B67" w:rsidRDefault="00DE7B67">
      <w:pPr>
        <w:pBdr>
          <w:top w:val="nil"/>
          <w:left w:val="nil"/>
          <w:bottom w:val="nil"/>
          <w:right w:val="nil"/>
          <w:between w:val="nil"/>
        </w:pBdr>
        <w:rPr>
          <w:color w:val="000000"/>
        </w:rPr>
      </w:pPr>
    </w:p>
    <w:p w14:paraId="46F6566C" w14:textId="77777777" w:rsidR="00DE7B67" w:rsidRDefault="00044E47">
      <w:pPr>
        <w:spacing w:line="360" w:lineRule="auto"/>
        <w:jc w:val="both"/>
        <w:rPr>
          <w:rFonts w:ascii="Arial" w:eastAsia="Arial" w:hAnsi="Arial" w:cs="Arial"/>
          <w:sz w:val="24"/>
          <w:szCs w:val="24"/>
        </w:rPr>
      </w:pPr>
      <w:r>
        <w:rPr>
          <w:rFonts w:ascii="Arial" w:eastAsia="Arial" w:hAnsi="Arial" w:cs="Arial"/>
          <w:b/>
          <w:sz w:val="24"/>
          <w:szCs w:val="24"/>
        </w:rPr>
        <w:lastRenderedPageBreak/>
        <w:t>Segundo.</w:t>
      </w:r>
      <w:r>
        <w:rPr>
          <w:rFonts w:ascii="Arial" w:eastAsia="Arial" w:hAnsi="Arial" w:cs="Arial"/>
          <w:sz w:val="24"/>
          <w:szCs w:val="24"/>
        </w:rPr>
        <w:t xml:space="preserve"> Se declara la </w:t>
      </w:r>
      <w:r>
        <w:rPr>
          <w:rFonts w:ascii="Arial" w:eastAsia="Arial" w:hAnsi="Arial" w:cs="Arial"/>
          <w:b/>
          <w:sz w:val="24"/>
          <w:szCs w:val="24"/>
        </w:rPr>
        <w:t xml:space="preserve">existencia </w:t>
      </w:r>
      <w:r>
        <w:rPr>
          <w:rFonts w:ascii="Arial" w:eastAsia="Arial" w:hAnsi="Arial" w:cs="Arial"/>
          <w:sz w:val="24"/>
          <w:szCs w:val="24"/>
        </w:rPr>
        <w:t xml:space="preserve">de la infracción consistente en </w:t>
      </w:r>
      <w:r>
        <w:rPr>
          <w:rFonts w:ascii="Arial" w:eastAsia="Arial" w:hAnsi="Arial" w:cs="Arial"/>
          <w:b/>
          <w:i/>
          <w:sz w:val="24"/>
          <w:szCs w:val="24"/>
        </w:rPr>
        <w:t>culpa in vigilando</w:t>
      </w:r>
      <w:r>
        <w:rPr>
          <w:rFonts w:ascii="Arial" w:eastAsia="Arial" w:hAnsi="Arial" w:cs="Arial"/>
          <w:sz w:val="24"/>
          <w:szCs w:val="24"/>
        </w:rPr>
        <w:t xml:space="preserve"> atribuida a los partidos políticos PAN, PRI y PRD.</w:t>
      </w:r>
    </w:p>
    <w:p w14:paraId="735E3503" w14:textId="77777777" w:rsidR="00DE7B67" w:rsidRDefault="00DE7B67">
      <w:pPr>
        <w:pBdr>
          <w:top w:val="nil"/>
          <w:left w:val="nil"/>
          <w:bottom w:val="nil"/>
          <w:right w:val="nil"/>
          <w:between w:val="nil"/>
        </w:pBdr>
        <w:rPr>
          <w:color w:val="000000"/>
        </w:rPr>
      </w:pPr>
    </w:p>
    <w:p w14:paraId="0024B4BF" w14:textId="77777777" w:rsidR="00DE7B67" w:rsidRDefault="00044E47">
      <w:pPr>
        <w:spacing w:line="360" w:lineRule="auto"/>
        <w:jc w:val="both"/>
        <w:rPr>
          <w:rFonts w:ascii="Arial" w:eastAsia="Arial" w:hAnsi="Arial" w:cs="Arial"/>
          <w:sz w:val="24"/>
          <w:szCs w:val="24"/>
        </w:rPr>
      </w:pPr>
      <w:r>
        <w:rPr>
          <w:rFonts w:ascii="Arial" w:eastAsia="Arial" w:hAnsi="Arial" w:cs="Arial"/>
          <w:b/>
          <w:sz w:val="24"/>
          <w:szCs w:val="24"/>
        </w:rPr>
        <w:t>Tercero</w:t>
      </w:r>
      <w:r>
        <w:rPr>
          <w:rFonts w:ascii="Arial" w:eastAsia="Arial" w:hAnsi="Arial" w:cs="Arial"/>
          <w:sz w:val="24"/>
          <w:szCs w:val="24"/>
        </w:rPr>
        <w:t xml:space="preserve">. Se impone una </w:t>
      </w:r>
      <w:r>
        <w:rPr>
          <w:rFonts w:ascii="Arial" w:eastAsia="Arial" w:hAnsi="Arial" w:cs="Arial"/>
          <w:b/>
          <w:sz w:val="24"/>
          <w:szCs w:val="24"/>
        </w:rPr>
        <w:t>amonestación pública</w:t>
      </w:r>
      <w:r>
        <w:rPr>
          <w:rFonts w:ascii="Arial" w:eastAsia="Arial" w:hAnsi="Arial" w:cs="Arial"/>
          <w:sz w:val="24"/>
          <w:szCs w:val="24"/>
        </w:rPr>
        <w:t xml:space="preserve"> a los institutos políticos PAN, PRI y PRD. </w:t>
      </w:r>
    </w:p>
    <w:p w14:paraId="1B36B238" w14:textId="77777777" w:rsidR="00DE7B67" w:rsidRDefault="00DE7B67">
      <w:pPr>
        <w:pBdr>
          <w:top w:val="nil"/>
          <w:left w:val="nil"/>
          <w:bottom w:val="nil"/>
          <w:right w:val="nil"/>
          <w:between w:val="nil"/>
        </w:pBdr>
        <w:rPr>
          <w:color w:val="000000"/>
        </w:rPr>
      </w:pPr>
    </w:p>
    <w:p w14:paraId="1C5FD5FB" w14:textId="77777777" w:rsidR="00DE7B67" w:rsidRDefault="00044E47">
      <w:pPr>
        <w:spacing w:line="360" w:lineRule="auto"/>
        <w:jc w:val="both"/>
        <w:rPr>
          <w:rFonts w:ascii="Arial" w:eastAsia="Arial" w:hAnsi="Arial" w:cs="Arial"/>
          <w:sz w:val="24"/>
          <w:szCs w:val="24"/>
        </w:rPr>
      </w:pPr>
      <w:r>
        <w:rPr>
          <w:rFonts w:ascii="Arial" w:eastAsia="Arial" w:hAnsi="Arial" w:cs="Arial"/>
          <w:b/>
          <w:sz w:val="24"/>
          <w:szCs w:val="24"/>
        </w:rPr>
        <w:t>Cuarto</w:t>
      </w:r>
      <w:r>
        <w:rPr>
          <w:rFonts w:ascii="Arial" w:eastAsia="Arial" w:hAnsi="Arial" w:cs="Arial"/>
          <w:sz w:val="24"/>
          <w:szCs w:val="24"/>
        </w:rPr>
        <w:t>. Publíquese en la página de internet de este Tribunal, en el catálogo de sujetos sancionados de los procedimientos especiales sancionadores.</w:t>
      </w:r>
    </w:p>
    <w:p w14:paraId="23A0B28F" w14:textId="77777777" w:rsidR="00DE7B67" w:rsidRDefault="00DE7B67">
      <w:pPr>
        <w:pBdr>
          <w:top w:val="nil"/>
          <w:left w:val="nil"/>
          <w:bottom w:val="nil"/>
          <w:right w:val="nil"/>
          <w:between w:val="nil"/>
        </w:pBdr>
        <w:rPr>
          <w:color w:val="000000"/>
        </w:rPr>
      </w:pPr>
    </w:p>
    <w:p w14:paraId="66EEF083" w14:textId="77777777" w:rsidR="00DE7B67" w:rsidRDefault="00044E47">
      <w:pPr>
        <w:pBdr>
          <w:top w:val="nil"/>
          <w:left w:val="nil"/>
          <w:bottom w:val="nil"/>
          <w:right w:val="nil"/>
          <w:between w:val="nil"/>
        </w:pBdr>
        <w:tabs>
          <w:tab w:val="left" w:pos="0"/>
          <w:tab w:val="left" w:pos="426"/>
        </w:tabs>
        <w:spacing w:line="360" w:lineRule="auto"/>
        <w:jc w:val="both"/>
        <w:rPr>
          <w:rFonts w:ascii="Arial" w:eastAsia="Arial" w:hAnsi="Arial" w:cs="Arial"/>
          <w:b/>
          <w:color w:val="000000"/>
          <w:sz w:val="24"/>
          <w:szCs w:val="24"/>
        </w:rPr>
      </w:pPr>
      <w:r>
        <w:rPr>
          <w:rFonts w:ascii="Arial" w:eastAsia="Arial" w:hAnsi="Arial" w:cs="Arial"/>
          <w:b/>
          <w:color w:val="000000"/>
          <w:sz w:val="24"/>
          <w:szCs w:val="24"/>
        </w:rPr>
        <w:t xml:space="preserve">Notifíquese. </w:t>
      </w:r>
    </w:p>
    <w:p w14:paraId="778DC640" w14:textId="77777777" w:rsidR="00DE7B67" w:rsidRDefault="00DE7B67">
      <w:pPr>
        <w:pBdr>
          <w:top w:val="nil"/>
          <w:left w:val="nil"/>
          <w:bottom w:val="nil"/>
          <w:right w:val="nil"/>
          <w:between w:val="nil"/>
        </w:pBdr>
        <w:rPr>
          <w:color w:val="000000"/>
        </w:rPr>
      </w:pPr>
    </w:p>
    <w:p w14:paraId="14FB7E56" w14:textId="77777777" w:rsidR="00DE7B67" w:rsidRDefault="00044E47">
      <w:pPr>
        <w:pBdr>
          <w:top w:val="nil"/>
          <w:left w:val="nil"/>
          <w:bottom w:val="nil"/>
          <w:right w:val="nil"/>
          <w:between w:val="nil"/>
        </w:pBdr>
        <w:tabs>
          <w:tab w:val="left" w:pos="0"/>
          <w:tab w:val="left" w:pos="426"/>
        </w:tabs>
        <w:spacing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Así lo resolvió el Tribunal Electoral del Estado de Aguascalientes, por unanimidad de votos de las </w:t>
      </w:r>
      <w:r>
        <w:rPr>
          <w:rFonts w:ascii="Arial" w:eastAsia="Arial" w:hAnsi="Arial" w:cs="Arial"/>
          <w:sz w:val="24"/>
          <w:szCs w:val="24"/>
        </w:rPr>
        <w:t xml:space="preserve">Magistradas y el </w:t>
      </w:r>
      <w:r>
        <w:rPr>
          <w:rFonts w:ascii="Arial" w:eastAsia="Arial" w:hAnsi="Arial" w:cs="Arial"/>
          <w:color w:val="000000"/>
          <w:sz w:val="24"/>
          <w:szCs w:val="24"/>
        </w:rPr>
        <w:t xml:space="preserve">Magistrado en funciones que lo integran, ante el </w:t>
      </w:r>
      <w:proofErr w:type="gramStart"/>
      <w:r>
        <w:rPr>
          <w:rFonts w:ascii="Arial" w:eastAsia="Arial" w:hAnsi="Arial" w:cs="Arial"/>
          <w:color w:val="000000"/>
          <w:sz w:val="24"/>
          <w:szCs w:val="24"/>
        </w:rPr>
        <w:t>Secretario General</w:t>
      </w:r>
      <w:proofErr w:type="gramEnd"/>
      <w:r>
        <w:rPr>
          <w:rFonts w:ascii="Arial" w:eastAsia="Arial" w:hAnsi="Arial" w:cs="Arial"/>
          <w:color w:val="000000"/>
          <w:sz w:val="24"/>
          <w:szCs w:val="24"/>
        </w:rPr>
        <w:t xml:space="preserve"> de Acuerdos, quien autoriza y da fe.</w:t>
      </w:r>
    </w:p>
    <w:p w14:paraId="0F2A711A" w14:textId="77777777" w:rsidR="00DE7B67" w:rsidRDefault="00DE7B67">
      <w:pPr>
        <w:pBdr>
          <w:top w:val="nil"/>
          <w:left w:val="nil"/>
          <w:bottom w:val="nil"/>
          <w:right w:val="nil"/>
          <w:between w:val="nil"/>
        </w:pBdr>
        <w:tabs>
          <w:tab w:val="left" w:pos="0"/>
          <w:tab w:val="left" w:pos="426"/>
        </w:tabs>
        <w:spacing w:line="360" w:lineRule="auto"/>
        <w:jc w:val="both"/>
        <w:rPr>
          <w:rFonts w:ascii="Arial" w:eastAsia="Arial" w:hAnsi="Arial" w:cs="Arial"/>
          <w:color w:val="000000"/>
          <w:sz w:val="24"/>
          <w:szCs w:val="24"/>
        </w:rPr>
      </w:pPr>
    </w:p>
    <w:p w14:paraId="6A41AD56" w14:textId="7B296ED2" w:rsidR="00DE7B67" w:rsidRDefault="00DE7B67">
      <w:pPr>
        <w:pBdr>
          <w:top w:val="nil"/>
          <w:left w:val="nil"/>
          <w:bottom w:val="nil"/>
          <w:right w:val="nil"/>
          <w:between w:val="nil"/>
        </w:pBdr>
        <w:rPr>
          <w:color w:val="000000"/>
        </w:rPr>
      </w:pPr>
    </w:p>
    <w:tbl>
      <w:tblPr>
        <w:tblStyle w:val="affa"/>
        <w:tblW w:w="9120" w:type="dxa"/>
        <w:jc w:val="center"/>
        <w:tblInd w:w="0" w:type="dxa"/>
        <w:tblLayout w:type="fixed"/>
        <w:tblLook w:val="0400" w:firstRow="0" w:lastRow="0" w:firstColumn="0" w:lastColumn="0" w:noHBand="0" w:noVBand="1"/>
      </w:tblPr>
      <w:tblGrid>
        <w:gridCol w:w="4559"/>
        <w:gridCol w:w="4561"/>
      </w:tblGrid>
      <w:tr w:rsidR="00DE7B67" w14:paraId="23EFC03B" w14:textId="77777777">
        <w:trPr>
          <w:trHeight w:val="1211"/>
          <w:jc w:val="center"/>
        </w:trPr>
        <w:tc>
          <w:tcPr>
            <w:tcW w:w="9120" w:type="dxa"/>
            <w:gridSpan w:val="2"/>
            <w:shd w:val="clear" w:color="auto" w:fill="auto"/>
          </w:tcPr>
          <w:p w14:paraId="74A3B39A" w14:textId="3096946A" w:rsidR="00DE7B67" w:rsidRDefault="00044E47">
            <w:pPr>
              <w:spacing w:line="360" w:lineRule="auto"/>
              <w:jc w:val="center"/>
              <w:rPr>
                <w:rFonts w:ascii="Arial" w:eastAsia="Arial" w:hAnsi="Arial" w:cs="Arial"/>
                <w:b/>
                <w:color w:val="000000"/>
                <w:sz w:val="24"/>
                <w:szCs w:val="24"/>
              </w:rPr>
            </w:pPr>
            <w:bookmarkStart w:id="5" w:name="_heading=h.3znysh7" w:colFirst="0" w:colLast="0"/>
            <w:bookmarkEnd w:id="5"/>
            <w:r>
              <w:rPr>
                <w:rFonts w:ascii="Arial" w:eastAsia="Arial" w:hAnsi="Arial" w:cs="Arial"/>
                <w:b/>
                <w:color w:val="000000"/>
                <w:sz w:val="24"/>
                <w:szCs w:val="24"/>
              </w:rPr>
              <w:t>MAGISTRADA PRESIDENTA</w:t>
            </w:r>
          </w:p>
          <w:p w14:paraId="472E0259" w14:textId="77777777" w:rsidR="00DE7B67" w:rsidRDefault="00DE7B67">
            <w:pPr>
              <w:pBdr>
                <w:top w:val="nil"/>
                <w:left w:val="nil"/>
                <w:bottom w:val="nil"/>
                <w:right w:val="nil"/>
                <w:between w:val="nil"/>
              </w:pBdr>
              <w:rPr>
                <w:rFonts w:ascii="Times New Roman" w:eastAsia="Times New Roman" w:hAnsi="Times New Roman" w:cs="Times New Roman"/>
                <w:color w:val="000000"/>
                <w:sz w:val="24"/>
                <w:szCs w:val="24"/>
              </w:rPr>
            </w:pPr>
          </w:p>
          <w:p w14:paraId="4B1CDD48" w14:textId="77777777" w:rsidR="00DE7B67" w:rsidRDefault="00044E47">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CLAUDIA ELOISA DÍAZ DE LEÓN GONZÁLEZ</w:t>
            </w:r>
          </w:p>
          <w:p w14:paraId="2D6201E7" w14:textId="77777777" w:rsidR="00DE7B67" w:rsidRDefault="00DE7B67">
            <w:pPr>
              <w:spacing w:line="360" w:lineRule="auto"/>
              <w:jc w:val="center"/>
              <w:rPr>
                <w:rFonts w:ascii="Arial" w:eastAsia="Arial" w:hAnsi="Arial" w:cs="Arial"/>
                <w:b/>
                <w:color w:val="000000"/>
                <w:sz w:val="24"/>
                <w:szCs w:val="24"/>
              </w:rPr>
            </w:pPr>
          </w:p>
        </w:tc>
      </w:tr>
      <w:tr w:rsidR="00DE7B67" w14:paraId="4B405AC1" w14:textId="77777777">
        <w:trPr>
          <w:trHeight w:val="1549"/>
          <w:jc w:val="center"/>
        </w:trPr>
        <w:tc>
          <w:tcPr>
            <w:tcW w:w="4559" w:type="dxa"/>
            <w:shd w:val="clear" w:color="auto" w:fill="auto"/>
          </w:tcPr>
          <w:p w14:paraId="3FAE4B96" w14:textId="085147BA" w:rsidR="00DE7B67" w:rsidRDefault="00044E47">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MAGISTRADA</w:t>
            </w:r>
          </w:p>
          <w:p w14:paraId="1C967D28" w14:textId="77777777" w:rsidR="00DE7B67" w:rsidRDefault="00DE7B67">
            <w:pPr>
              <w:pBdr>
                <w:top w:val="nil"/>
                <w:left w:val="nil"/>
                <w:bottom w:val="nil"/>
                <w:right w:val="nil"/>
                <w:between w:val="nil"/>
              </w:pBdr>
              <w:rPr>
                <w:rFonts w:ascii="Times New Roman" w:eastAsia="Times New Roman" w:hAnsi="Times New Roman" w:cs="Times New Roman"/>
                <w:color w:val="000000"/>
                <w:sz w:val="24"/>
                <w:szCs w:val="24"/>
              </w:rPr>
            </w:pPr>
          </w:p>
          <w:p w14:paraId="544C1BD5" w14:textId="77777777" w:rsidR="00DE7B67" w:rsidRDefault="00044E47">
            <w:pPr>
              <w:jc w:val="center"/>
              <w:rPr>
                <w:rFonts w:ascii="Arial" w:eastAsia="Arial" w:hAnsi="Arial" w:cs="Arial"/>
                <w:b/>
                <w:color w:val="000000"/>
                <w:sz w:val="24"/>
                <w:szCs w:val="24"/>
              </w:rPr>
            </w:pPr>
            <w:r>
              <w:rPr>
                <w:rFonts w:ascii="Arial" w:eastAsia="Arial" w:hAnsi="Arial" w:cs="Arial"/>
                <w:b/>
                <w:color w:val="000000"/>
                <w:sz w:val="24"/>
                <w:szCs w:val="24"/>
              </w:rPr>
              <w:t xml:space="preserve">LAURA HORTENSIA </w:t>
            </w:r>
          </w:p>
          <w:p w14:paraId="06D48BFB" w14:textId="77777777" w:rsidR="00DE7B67" w:rsidRDefault="00044E47">
            <w:pPr>
              <w:jc w:val="center"/>
              <w:rPr>
                <w:rFonts w:ascii="Arial" w:eastAsia="Arial" w:hAnsi="Arial" w:cs="Arial"/>
                <w:b/>
                <w:color w:val="000000"/>
                <w:sz w:val="24"/>
                <w:szCs w:val="24"/>
              </w:rPr>
            </w:pPr>
            <w:r>
              <w:rPr>
                <w:rFonts w:ascii="Arial" w:eastAsia="Arial" w:hAnsi="Arial" w:cs="Arial"/>
                <w:b/>
                <w:color w:val="000000"/>
                <w:sz w:val="24"/>
                <w:szCs w:val="24"/>
              </w:rPr>
              <w:t>LLAMAS HERNÁNDEZ</w:t>
            </w:r>
          </w:p>
        </w:tc>
        <w:tc>
          <w:tcPr>
            <w:tcW w:w="4561" w:type="dxa"/>
            <w:shd w:val="clear" w:color="auto" w:fill="auto"/>
          </w:tcPr>
          <w:p w14:paraId="230AC83E" w14:textId="77777777" w:rsidR="00DE7B67" w:rsidRDefault="00044E47">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MAGISTRADO </w:t>
            </w:r>
          </w:p>
          <w:p w14:paraId="6FB0C4DE" w14:textId="77777777" w:rsidR="00DE7B67" w:rsidRDefault="00DE7B67">
            <w:pPr>
              <w:rPr>
                <w:sz w:val="28"/>
                <w:szCs w:val="28"/>
              </w:rPr>
            </w:pPr>
          </w:p>
          <w:p w14:paraId="6B7D6A63" w14:textId="77777777" w:rsidR="00DE7B67" w:rsidRDefault="00044E47">
            <w:pPr>
              <w:jc w:val="center"/>
              <w:rPr>
                <w:rFonts w:ascii="Arial" w:eastAsia="Arial" w:hAnsi="Arial" w:cs="Arial"/>
                <w:b/>
                <w:color w:val="000000"/>
                <w:sz w:val="24"/>
                <w:szCs w:val="24"/>
              </w:rPr>
            </w:pPr>
            <w:r>
              <w:rPr>
                <w:rFonts w:ascii="Arial" w:eastAsia="Arial" w:hAnsi="Arial" w:cs="Arial"/>
                <w:b/>
                <w:color w:val="000000"/>
                <w:sz w:val="24"/>
                <w:szCs w:val="24"/>
              </w:rPr>
              <w:t xml:space="preserve">HÉCTOR SALVADOR </w:t>
            </w:r>
          </w:p>
          <w:p w14:paraId="45674DFA" w14:textId="77777777" w:rsidR="00DE7B67" w:rsidRDefault="00044E47">
            <w:pPr>
              <w:jc w:val="center"/>
              <w:rPr>
                <w:rFonts w:ascii="Arial" w:eastAsia="Arial" w:hAnsi="Arial" w:cs="Arial"/>
                <w:b/>
                <w:color w:val="000000"/>
                <w:sz w:val="24"/>
                <w:szCs w:val="24"/>
              </w:rPr>
            </w:pPr>
            <w:r>
              <w:rPr>
                <w:rFonts w:ascii="Arial" w:eastAsia="Arial" w:hAnsi="Arial" w:cs="Arial"/>
                <w:b/>
                <w:color w:val="000000"/>
                <w:sz w:val="24"/>
                <w:szCs w:val="24"/>
              </w:rPr>
              <w:t>HERNÁNDEZ GALLEGOS</w:t>
            </w:r>
          </w:p>
          <w:p w14:paraId="27274CF5" w14:textId="77777777" w:rsidR="00DE7B67" w:rsidRDefault="00DE7B67">
            <w:pPr>
              <w:jc w:val="center"/>
              <w:rPr>
                <w:rFonts w:ascii="Arial" w:eastAsia="Arial" w:hAnsi="Arial" w:cs="Arial"/>
                <w:b/>
                <w:color w:val="000000"/>
                <w:sz w:val="24"/>
                <w:szCs w:val="24"/>
              </w:rPr>
            </w:pPr>
          </w:p>
          <w:p w14:paraId="29C02461" w14:textId="77777777" w:rsidR="00DE7B67" w:rsidRDefault="00DE7B67">
            <w:pPr>
              <w:rPr>
                <w:sz w:val="24"/>
                <w:szCs w:val="24"/>
              </w:rPr>
            </w:pPr>
          </w:p>
        </w:tc>
      </w:tr>
      <w:tr w:rsidR="00DE7B67" w14:paraId="02E3707F" w14:textId="77777777">
        <w:trPr>
          <w:jc w:val="center"/>
        </w:trPr>
        <w:tc>
          <w:tcPr>
            <w:tcW w:w="9120" w:type="dxa"/>
            <w:gridSpan w:val="2"/>
            <w:shd w:val="clear" w:color="auto" w:fill="auto"/>
          </w:tcPr>
          <w:p w14:paraId="7EE67CD2" w14:textId="60DDCE0F" w:rsidR="00DE7B67" w:rsidRDefault="00044E47">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SECRETARIO GENERAL DE ACUERDOS </w:t>
            </w:r>
          </w:p>
          <w:p w14:paraId="6B4F74E7" w14:textId="77777777" w:rsidR="00DE7B67" w:rsidRDefault="00DE7B67">
            <w:pPr>
              <w:pBdr>
                <w:top w:val="nil"/>
                <w:left w:val="nil"/>
                <w:bottom w:val="nil"/>
                <w:right w:val="nil"/>
                <w:between w:val="nil"/>
              </w:pBdr>
              <w:rPr>
                <w:rFonts w:ascii="Times New Roman" w:eastAsia="Times New Roman" w:hAnsi="Times New Roman" w:cs="Times New Roman"/>
                <w:color w:val="000000"/>
                <w:sz w:val="24"/>
                <w:szCs w:val="24"/>
              </w:rPr>
            </w:pPr>
          </w:p>
          <w:p w14:paraId="6244C26B" w14:textId="77777777" w:rsidR="00DE7B67" w:rsidRDefault="00044E47">
            <w:pPr>
              <w:spacing w:line="360" w:lineRule="auto"/>
              <w:jc w:val="center"/>
              <w:rPr>
                <w:rFonts w:ascii="Arial" w:eastAsia="Arial" w:hAnsi="Arial" w:cs="Arial"/>
                <w:b/>
                <w:color w:val="000000"/>
                <w:sz w:val="24"/>
                <w:szCs w:val="24"/>
              </w:rPr>
            </w:pPr>
            <w:r>
              <w:rPr>
                <w:rFonts w:ascii="Arial" w:eastAsia="Arial" w:hAnsi="Arial" w:cs="Arial"/>
                <w:b/>
                <w:color w:val="000000"/>
                <w:sz w:val="24"/>
                <w:szCs w:val="24"/>
              </w:rPr>
              <w:t xml:space="preserve">JESUS OCIEL BAENA SAUCEDO </w:t>
            </w:r>
          </w:p>
        </w:tc>
      </w:tr>
    </w:tbl>
    <w:p w14:paraId="6A5F61A5" w14:textId="5B45BC3A" w:rsidR="00DE7B67" w:rsidRDefault="00DE7B67">
      <w:pPr>
        <w:spacing w:line="360" w:lineRule="auto"/>
        <w:rPr>
          <w:rFonts w:ascii="Arial" w:eastAsia="Arial" w:hAnsi="Arial" w:cs="Arial"/>
          <w:sz w:val="24"/>
          <w:szCs w:val="24"/>
        </w:rPr>
      </w:pPr>
    </w:p>
    <w:sectPr w:rsidR="00DE7B67">
      <w:headerReference w:type="even" r:id="rId8"/>
      <w:headerReference w:type="default" r:id="rId9"/>
      <w:footerReference w:type="even" r:id="rId10"/>
      <w:footerReference w:type="default" r:id="rId11"/>
      <w:headerReference w:type="first" r:id="rId12"/>
      <w:footerReference w:type="first" r:id="rId13"/>
      <w:pgSz w:w="12240" w:h="20160"/>
      <w:pgMar w:top="2268" w:right="1134" w:bottom="1276"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A63DE" w14:textId="77777777" w:rsidR="00504E7D" w:rsidRDefault="00504E7D">
      <w:r>
        <w:separator/>
      </w:r>
    </w:p>
  </w:endnote>
  <w:endnote w:type="continuationSeparator" w:id="0">
    <w:p w14:paraId="718E4610" w14:textId="77777777" w:rsidR="00504E7D" w:rsidRDefault="00504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BA531" w14:textId="77777777" w:rsidR="00DE7B67" w:rsidRDefault="00DE7B6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11636" w14:textId="77777777" w:rsidR="00DE7B67" w:rsidRDefault="00DE7B67">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86399" w14:textId="77777777" w:rsidR="00DE7B67" w:rsidRDefault="00DE7B6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85D39" w14:textId="77777777" w:rsidR="00504E7D" w:rsidRDefault="00504E7D">
      <w:r>
        <w:separator/>
      </w:r>
    </w:p>
  </w:footnote>
  <w:footnote w:type="continuationSeparator" w:id="0">
    <w:p w14:paraId="2CC4B9D2" w14:textId="77777777" w:rsidR="00504E7D" w:rsidRDefault="00504E7D">
      <w:r>
        <w:continuationSeparator/>
      </w:r>
    </w:p>
  </w:footnote>
  <w:footnote w:id="1">
    <w:p w14:paraId="6EC49440" w14:textId="77777777" w:rsidR="00DE7B67" w:rsidRDefault="00044E47">
      <w:pPr>
        <w:pBdr>
          <w:top w:val="nil"/>
          <w:left w:val="nil"/>
          <w:bottom w:val="nil"/>
          <w:right w:val="nil"/>
          <w:between w:val="nil"/>
        </w:pBdr>
        <w:jc w:val="both"/>
        <w:rPr>
          <w:rFonts w:ascii="Arial" w:eastAsia="Arial" w:hAnsi="Arial" w:cs="Arial"/>
          <w:color w:val="000000"/>
        </w:rPr>
      </w:pPr>
      <w:r>
        <w:rPr>
          <w:vertAlign w:val="superscript"/>
        </w:rPr>
        <w:footnoteRef/>
      </w:r>
      <w:r>
        <w:rPr>
          <w:rFonts w:ascii="Arial" w:eastAsia="Arial" w:hAnsi="Arial" w:cs="Arial"/>
          <w:color w:val="000000"/>
        </w:rPr>
        <w:t xml:space="preserve"> Encargado de despacho de la secretaría de estudio de la ponencia II.</w:t>
      </w:r>
    </w:p>
  </w:footnote>
  <w:footnote w:id="2">
    <w:p w14:paraId="06783E62" w14:textId="77777777" w:rsidR="00DE7B67" w:rsidRDefault="00044E47">
      <w:pPr>
        <w:jc w:val="both"/>
        <w:rPr>
          <w:rFonts w:ascii="Arial" w:eastAsia="Arial" w:hAnsi="Arial" w:cs="Arial"/>
        </w:rPr>
      </w:pPr>
      <w:r>
        <w:rPr>
          <w:vertAlign w:val="superscript"/>
        </w:rPr>
        <w:footnoteRef/>
      </w:r>
      <w:r>
        <w:rPr>
          <w:rFonts w:ascii="Arial" w:eastAsia="Arial" w:hAnsi="Arial" w:cs="Arial"/>
        </w:rPr>
        <w:t xml:space="preserve"> Todas las fechas corresponden al 2022, salvo precisión en contrario.</w:t>
      </w:r>
    </w:p>
  </w:footnote>
  <w:footnote w:id="3">
    <w:p w14:paraId="4DFDF511" w14:textId="77777777" w:rsidR="00DE7B67" w:rsidRDefault="00044E47">
      <w:pPr>
        <w:jc w:val="both"/>
        <w:rPr>
          <w:rFonts w:ascii="Arial" w:eastAsia="Arial" w:hAnsi="Arial" w:cs="Arial"/>
        </w:rPr>
      </w:pPr>
      <w:r>
        <w:rPr>
          <w:vertAlign w:val="superscript"/>
        </w:rPr>
        <w:footnoteRef/>
      </w:r>
      <w:r>
        <w:rPr>
          <w:rFonts w:ascii="Arial" w:eastAsia="Arial" w:hAnsi="Arial" w:cs="Arial"/>
        </w:rPr>
        <w:t xml:space="preserve"> </w:t>
      </w:r>
      <w:r>
        <w:rPr>
          <w:rFonts w:ascii="Arial" w:eastAsia="Arial" w:hAnsi="Arial" w:cs="Arial"/>
          <w:i/>
        </w:rPr>
        <w:t>Precampaña</w:t>
      </w:r>
      <w:r>
        <w:rPr>
          <w:rFonts w:ascii="Arial" w:eastAsia="Arial" w:hAnsi="Arial" w:cs="Arial"/>
        </w:rPr>
        <w:t xml:space="preserve">: Del 2 de enero al 10 de febrero; </w:t>
      </w:r>
      <w:proofErr w:type="spellStart"/>
      <w:r>
        <w:rPr>
          <w:rFonts w:ascii="Arial" w:eastAsia="Arial" w:hAnsi="Arial" w:cs="Arial"/>
        </w:rPr>
        <w:t>Intercampaña</w:t>
      </w:r>
      <w:proofErr w:type="spellEnd"/>
      <w:r>
        <w:rPr>
          <w:rFonts w:ascii="Arial" w:eastAsia="Arial" w:hAnsi="Arial" w:cs="Arial"/>
        </w:rPr>
        <w:t xml:space="preserve">: Del 11 de febrero al 2 de abril; </w:t>
      </w:r>
      <w:r>
        <w:rPr>
          <w:rFonts w:ascii="Arial" w:eastAsia="Arial" w:hAnsi="Arial" w:cs="Arial"/>
          <w:i/>
        </w:rPr>
        <w:t>Campaña</w:t>
      </w:r>
      <w:r>
        <w:rPr>
          <w:rFonts w:ascii="Arial" w:eastAsia="Arial" w:hAnsi="Arial" w:cs="Arial"/>
        </w:rPr>
        <w:t xml:space="preserve">: Del 3 de abril al 1 de junio; </w:t>
      </w:r>
      <w:r>
        <w:rPr>
          <w:rFonts w:ascii="Arial" w:eastAsia="Arial" w:hAnsi="Arial" w:cs="Arial"/>
          <w:i/>
        </w:rPr>
        <w:t>Veda Electoral</w:t>
      </w:r>
      <w:r>
        <w:rPr>
          <w:rFonts w:ascii="Arial" w:eastAsia="Arial" w:hAnsi="Arial" w:cs="Arial"/>
        </w:rPr>
        <w:t xml:space="preserve">: Tres días antes de la Jornada Electoral; </w:t>
      </w:r>
      <w:r>
        <w:rPr>
          <w:rFonts w:ascii="Arial" w:eastAsia="Arial" w:hAnsi="Arial" w:cs="Arial"/>
          <w:i/>
        </w:rPr>
        <w:t>Jornada Electoral</w:t>
      </w:r>
      <w:r>
        <w:rPr>
          <w:rFonts w:ascii="Arial" w:eastAsia="Arial" w:hAnsi="Arial" w:cs="Arial"/>
        </w:rPr>
        <w:t>: El 5 de junio.</w:t>
      </w:r>
    </w:p>
  </w:footnote>
  <w:footnote w:id="4">
    <w:p w14:paraId="22AF613F" w14:textId="77777777" w:rsidR="00DE7B67" w:rsidRDefault="00044E47">
      <w:pPr>
        <w:jc w:val="both"/>
        <w:rPr>
          <w:rFonts w:ascii="Arial" w:eastAsia="Arial" w:hAnsi="Arial" w:cs="Arial"/>
        </w:rPr>
      </w:pPr>
      <w:r>
        <w:rPr>
          <w:vertAlign w:val="superscript"/>
        </w:rPr>
        <w:footnoteRef/>
      </w:r>
      <w:r>
        <w:rPr>
          <w:rFonts w:ascii="Arial" w:eastAsia="Arial" w:hAnsi="Arial" w:cs="Arial"/>
        </w:rPr>
        <w:t xml:space="preserve"> Tal como se prevé en el artículo 274, fracción IV, del Código Electoral.</w:t>
      </w:r>
    </w:p>
  </w:footnote>
  <w:footnote w:id="5">
    <w:p w14:paraId="3D328015" w14:textId="77777777" w:rsidR="00DE7B67" w:rsidRDefault="00044E47">
      <w:pPr>
        <w:jc w:val="both"/>
        <w:rPr>
          <w:rFonts w:ascii="Arial" w:eastAsia="Arial" w:hAnsi="Arial" w:cs="Arial"/>
        </w:rPr>
      </w:pPr>
      <w:r>
        <w:rPr>
          <w:vertAlign w:val="superscript"/>
        </w:rPr>
        <w:footnoteRef/>
      </w:r>
      <w:r>
        <w:rPr>
          <w:rFonts w:ascii="Arial" w:eastAsia="Arial" w:hAnsi="Arial" w:cs="Arial"/>
        </w:rPr>
        <w:t xml:space="preserve"> Artículo 270.- La denuncia deberá ser presentada ante la Secretaría Ejecutiva, para que ésta la examine junto con las pruebas aportadas. La denuncia será desechada de plano por la Secretaría Ejecutiva, sin prevención alguna, cuando: […]</w:t>
      </w:r>
    </w:p>
    <w:p w14:paraId="5568896F" w14:textId="77777777" w:rsidR="00DE7B67" w:rsidRDefault="00044E47">
      <w:pPr>
        <w:jc w:val="both"/>
        <w:rPr>
          <w:rFonts w:ascii="Arial" w:eastAsia="Arial" w:hAnsi="Arial" w:cs="Arial"/>
        </w:rPr>
      </w:pPr>
      <w:r>
        <w:rPr>
          <w:rFonts w:ascii="Arial" w:eastAsia="Arial" w:hAnsi="Arial" w:cs="Arial"/>
        </w:rPr>
        <w:t>II. Los hechos denunciados no constituyan una violación en materia de propaganda político-electivo;</w:t>
      </w:r>
    </w:p>
    <w:p w14:paraId="266D3F11" w14:textId="77777777" w:rsidR="00DE7B67" w:rsidRDefault="00044E47">
      <w:pPr>
        <w:jc w:val="both"/>
        <w:rPr>
          <w:rFonts w:ascii="Arial" w:eastAsia="Arial" w:hAnsi="Arial" w:cs="Arial"/>
        </w:rPr>
      </w:pPr>
      <w:r>
        <w:rPr>
          <w:rFonts w:ascii="Arial" w:eastAsia="Arial" w:hAnsi="Arial" w:cs="Arial"/>
        </w:rPr>
        <w:t>III. El denunciante no aporte ni ofrezca prueba alguna de sus dichos; […]</w:t>
      </w:r>
    </w:p>
    <w:p w14:paraId="48193D8D" w14:textId="77777777" w:rsidR="00DE7B67" w:rsidRDefault="00044E47">
      <w:pPr>
        <w:jc w:val="both"/>
        <w:rPr>
          <w:rFonts w:ascii="Arial" w:eastAsia="Arial" w:hAnsi="Arial" w:cs="Arial"/>
        </w:rPr>
      </w:pPr>
      <w:r>
        <w:rPr>
          <w:rFonts w:ascii="Arial" w:eastAsia="Arial" w:hAnsi="Arial" w:cs="Arial"/>
        </w:rPr>
        <w:t>V. La denuncia sea evidentemente frívola. […]</w:t>
      </w:r>
    </w:p>
    <w:p w14:paraId="0B5B23EA" w14:textId="77777777" w:rsidR="00DE7B67" w:rsidRDefault="00DE7B67">
      <w:pPr>
        <w:rPr>
          <w:rFonts w:ascii="Arial" w:eastAsia="Arial" w:hAnsi="Arial" w:cs="Arial"/>
        </w:rPr>
      </w:pPr>
    </w:p>
  </w:footnote>
  <w:footnote w:id="6">
    <w:p w14:paraId="427D8BBE" w14:textId="77777777" w:rsidR="00DE7B67" w:rsidRDefault="00044E47">
      <w:pPr>
        <w:pBdr>
          <w:top w:val="nil"/>
          <w:left w:val="nil"/>
          <w:bottom w:val="nil"/>
          <w:right w:val="nil"/>
          <w:between w:val="nil"/>
        </w:pBdr>
        <w:jc w:val="both"/>
        <w:rPr>
          <w:rFonts w:ascii="Arial" w:eastAsia="Arial" w:hAnsi="Arial" w:cs="Arial"/>
          <w:i/>
          <w:color w:val="000000"/>
        </w:rPr>
      </w:pPr>
      <w:r>
        <w:rPr>
          <w:vertAlign w:val="superscript"/>
        </w:rPr>
        <w:footnoteRef/>
      </w:r>
      <w:r>
        <w:rPr>
          <w:rFonts w:ascii="Arial" w:eastAsia="Arial" w:hAnsi="Arial" w:cs="Arial"/>
          <w:color w:val="000000"/>
        </w:rPr>
        <w:t xml:space="preserve"> - </w:t>
      </w:r>
      <w:r>
        <w:rPr>
          <w:rFonts w:ascii="Arial" w:eastAsia="Arial" w:hAnsi="Arial" w:cs="Arial"/>
          <w:i/>
          <w:color w:val="000000"/>
        </w:rPr>
        <w:t xml:space="preserve">Prueba técnica: </w:t>
      </w:r>
      <w:r>
        <w:rPr>
          <w:rFonts w:ascii="Arial" w:eastAsia="Arial" w:hAnsi="Arial" w:cs="Arial"/>
          <w:color w:val="000000"/>
        </w:rPr>
        <w:t> De acuerdo con el artículo 256, tercer párrafo, del Código Electoral, las documentales privadas, técnicas, periciales, e instrumental de actuaciones, así como aquellas en las que un fedatario haga constar las declaraciones de alguna persona debidamente identificada, sólo harán prueba plena cuando a juicio del órgano competente para resolver, generen convicción sobre la veracidad de los hechos alegados, al concatenarse con los demás elementos que obren en el expediente, las afirmaciones de las partes, la verdad conocida y el recto raciocinio de la relación que guardan entre sí.</w:t>
      </w:r>
    </w:p>
    <w:p w14:paraId="6566D9A7" w14:textId="77777777" w:rsidR="00DE7B67" w:rsidRDefault="00044E47">
      <w:pPr>
        <w:pBdr>
          <w:top w:val="nil"/>
          <w:left w:val="nil"/>
          <w:bottom w:val="nil"/>
          <w:right w:val="nil"/>
          <w:between w:val="nil"/>
        </w:pBdr>
        <w:jc w:val="both"/>
        <w:rPr>
          <w:rFonts w:ascii="Arial" w:eastAsia="Arial" w:hAnsi="Arial" w:cs="Arial"/>
          <w:color w:val="000000"/>
        </w:rPr>
      </w:pPr>
      <w:r>
        <w:rPr>
          <w:rFonts w:ascii="Arial" w:eastAsia="Arial" w:hAnsi="Arial" w:cs="Arial"/>
          <w:i/>
          <w:color w:val="000000"/>
        </w:rPr>
        <w:t>-  Documental pública:</w:t>
      </w:r>
      <w:r>
        <w:rPr>
          <w:rFonts w:ascii="Arial" w:eastAsia="Arial" w:hAnsi="Arial" w:cs="Arial"/>
          <w:color w:val="000000"/>
        </w:rPr>
        <w:t xml:space="preserve"> De conformidad con el artículo 256, segundo párrafo del Código Electoral; Las documentales públicas tendrán valor probatorio pleno, salvo prueba en contrario respecto de su autenticidad o de la veracidad de los hechos a que se refieran. </w:t>
      </w:r>
    </w:p>
    <w:p w14:paraId="35B8CF82" w14:textId="77777777" w:rsidR="00DE7B67" w:rsidRDefault="00044E47">
      <w:pPr>
        <w:pBdr>
          <w:top w:val="nil"/>
          <w:left w:val="nil"/>
          <w:bottom w:val="nil"/>
          <w:right w:val="nil"/>
          <w:between w:val="nil"/>
        </w:pBdr>
        <w:jc w:val="both"/>
        <w:rPr>
          <w:rFonts w:ascii="Arial" w:eastAsia="Arial" w:hAnsi="Arial" w:cs="Arial"/>
          <w:color w:val="000000"/>
        </w:rPr>
      </w:pPr>
      <w:r>
        <w:rPr>
          <w:rFonts w:ascii="Arial" w:eastAsia="Arial" w:hAnsi="Arial" w:cs="Arial"/>
          <w:i/>
          <w:color w:val="000000"/>
        </w:rPr>
        <w:t>- Presuncional e instrumental de actuaciones:</w:t>
      </w:r>
      <w:r>
        <w:rPr>
          <w:rFonts w:ascii="Arial" w:eastAsia="Arial" w:hAnsi="Arial" w:cs="Arial"/>
          <w:color w:val="000000"/>
        </w:rPr>
        <w:t xml:space="preserve"> En relación con las pruebas ofrecidas como </w:t>
      </w:r>
      <w:proofErr w:type="spellStart"/>
      <w:r>
        <w:rPr>
          <w:rFonts w:ascii="Arial" w:eastAsia="Arial" w:hAnsi="Arial" w:cs="Arial"/>
          <w:color w:val="000000"/>
        </w:rPr>
        <w:t>presuncional</w:t>
      </w:r>
      <w:proofErr w:type="spellEnd"/>
      <w:r>
        <w:rPr>
          <w:rFonts w:ascii="Arial" w:eastAsia="Arial" w:hAnsi="Arial" w:cs="Arial"/>
          <w:color w:val="000000"/>
        </w:rPr>
        <w:t xml:space="preserve"> e instrumental de actuaciones, vale decir que las que se actualicen pueden ser apreciadas por esta instancia, con independencia de que sean o no ofrecidas por las partes, conforme a lo dispuesto por el artículo 255, fracciones V y VI, del Código Electoral.</w:t>
      </w:r>
    </w:p>
    <w:p w14:paraId="0DFD8107" w14:textId="77777777" w:rsidR="00DE7B67" w:rsidRDefault="00DE7B67">
      <w:pPr>
        <w:pBdr>
          <w:top w:val="nil"/>
          <w:left w:val="nil"/>
          <w:bottom w:val="nil"/>
          <w:right w:val="nil"/>
          <w:between w:val="nil"/>
        </w:pBdr>
        <w:rPr>
          <w:rFonts w:ascii="Arial" w:eastAsia="Arial" w:hAnsi="Arial" w:cs="Arial"/>
          <w:color w:val="000000"/>
        </w:rPr>
      </w:pPr>
    </w:p>
  </w:footnote>
  <w:footnote w:id="7">
    <w:p w14:paraId="514B9201" w14:textId="77777777" w:rsidR="00DE7B67" w:rsidRDefault="00044E47">
      <w:pPr>
        <w:jc w:val="both"/>
      </w:pPr>
      <w:r>
        <w:rPr>
          <w:vertAlign w:val="superscript"/>
        </w:rPr>
        <w:footnoteRef/>
      </w:r>
      <w:r>
        <w:t xml:space="preserve"> </w:t>
      </w:r>
      <w:r>
        <w:rPr>
          <w:rFonts w:ascii="Arial" w:eastAsia="Arial" w:hAnsi="Arial" w:cs="Arial"/>
          <w:sz w:val="24"/>
          <w:szCs w:val="24"/>
          <w:highlight w:val="white"/>
        </w:rPr>
        <w:t xml:space="preserve">Jurisprudencia 12/2003, de rubro: </w:t>
      </w:r>
      <w:r>
        <w:rPr>
          <w:rFonts w:ascii="Arial" w:eastAsia="Arial" w:hAnsi="Arial" w:cs="Arial"/>
          <w:i/>
          <w:sz w:val="24"/>
          <w:szCs w:val="24"/>
          <w:highlight w:val="white"/>
        </w:rPr>
        <w:t>“COSA JUZGADA. ELEMENTOS PARA SU EFICACIA REFLEJA”</w:t>
      </w:r>
      <w:r>
        <w:rPr>
          <w:rFonts w:ascii="Arial" w:eastAsia="Arial" w:hAnsi="Arial" w:cs="Arial"/>
          <w:sz w:val="24"/>
          <w:szCs w:val="24"/>
          <w:highlight w:val="white"/>
        </w:rPr>
        <w:t>, visible en la Revista Justicia Electoral del Tribunal Electoral del Poder Judicial de la Federación, suplemento 7, año 2004, páginas 9 a 11.</w:t>
      </w:r>
    </w:p>
  </w:footnote>
  <w:footnote w:id="8">
    <w:p w14:paraId="5B2D0D7F" w14:textId="77777777" w:rsidR="00DE7B67" w:rsidRDefault="00044E47">
      <w:pPr>
        <w:pBdr>
          <w:top w:val="nil"/>
          <w:left w:val="nil"/>
          <w:bottom w:val="nil"/>
          <w:right w:val="nil"/>
          <w:between w:val="nil"/>
        </w:pBdr>
        <w:jc w:val="both"/>
        <w:rPr>
          <w:rFonts w:ascii="Arial" w:eastAsia="Arial" w:hAnsi="Arial" w:cs="Arial"/>
        </w:rPr>
      </w:pPr>
      <w:r>
        <w:rPr>
          <w:vertAlign w:val="superscript"/>
        </w:rPr>
        <w:footnoteRef/>
      </w:r>
      <w:r>
        <w:rPr>
          <w:color w:val="000000"/>
        </w:rPr>
        <w:t xml:space="preserve"> </w:t>
      </w:r>
      <w:r>
        <w:rPr>
          <w:rFonts w:ascii="Arial" w:eastAsia="Arial" w:hAnsi="Arial" w:cs="Arial"/>
          <w:color w:val="000000"/>
        </w:rPr>
        <w:t xml:space="preserve">Véase la tesis XXV/2002, de rubro: </w:t>
      </w:r>
      <w:r>
        <w:rPr>
          <w:rFonts w:ascii="Arial" w:eastAsia="Arial" w:hAnsi="Arial" w:cs="Arial"/>
          <w:i/>
        </w:rPr>
        <w:t>“</w:t>
      </w:r>
      <w:r>
        <w:rPr>
          <w:rFonts w:ascii="Arial" w:eastAsia="Arial" w:hAnsi="Arial" w:cs="Arial"/>
          <w:i/>
          <w:color w:val="000000"/>
        </w:rPr>
        <w:t>COALICIONES. LAS FALTAS COMETIDAS POR LOS PARTIDOS POLÍTICOS COALIGADOS DEBEN SANCIONARSE INDIVIDUALMENTE.</w:t>
      </w:r>
      <w:r>
        <w:rPr>
          <w:rFonts w:ascii="Arial" w:eastAsia="Arial" w:hAnsi="Arial" w:cs="Arial"/>
          <w:i/>
        </w:rPr>
        <w:t>”,</w:t>
      </w:r>
      <w:r>
        <w:rPr>
          <w:rFonts w:ascii="Arial" w:eastAsia="Arial" w:hAnsi="Arial" w:cs="Arial"/>
        </w:rPr>
        <w:t xml:space="preserve"> visible en la Revista Justicia Electoral, del Tribunal Electoral del Poder Judicial de la Federación, suplemento 6, año 2003, páginas 101 a 103.</w:t>
      </w:r>
    </w:p>
    <w:p w14:paraId="6A6BB8DF" w14:textId="77777777" w:rsidR="00DE7B67" w:rsidRDefault="00DE7B67">
      <w:pPr>
        <w:jc w:val="both"/>
        <w:rPr>
          <w:rFonts w:ascii="Arial" w:eastAsia="Arial" w:hAnsi="Arial" w:cs="Arial"/>
          <w:b/>
        </w:rPr>
      </w:pPr>
    </w:p>
    <w:p w14:paraId="41A026E4" w14:textId="77777777" w:rsidR="00DE7B67" w:rsidRDefault="00DE7B67">
      <w:pPr>
        <w:pBdr>
          <w:top w:val="nil"/>
          <w:left w:val="nil"/>
          <w:bottom w:val="nil"/>
          <w:right w:val="nil"/>
          <w:between w:val="nil"/>
        </w:pBdr>
        <w:jc w:val="both"/>
        <w:rPr>
          <w:rFonts w:ascii="Arial" w:eastAsia="Arial" w:hAnsi="Arial" w:cs="Arial"/>
        </w:rPr>
      </w:pPr>
    </w:p>
  </w:footnote>
  <w:footnote w:id="9">
    <w:p w14:paraId="3800D78A" w14:textId="77777777" w:rsidR="00DE7B67" w:rsidRDefault="00044E47">
      <w:pPr>
        <w:pBdr>
          <w:top w:val="nil"/>
          <w:left w:val="nil"/>
          <w:bottom w:val="nil"/>
          <w:right w:val="nil"/>
          <w:between w:val="nil"/>
        </w:pBdr>
        <w:rPr>
          <w:color w:val="000000"/>
        </w:rPr>
      </w:pPr>
      <w:r>
        <w:rPr>
          <w:vertAlign w:val="superscript"/>
        </w:rPr>
        <w:footnoteRef/>
      </w:r>
      <w:r>
        <w:rPr>
          <w:color w:val="000000"/>
        </w:rPr>
        <w:t xml:space="preserve"> </w:t>
      </w:r>
      <w:r>
        <w:rPr>
          <w:rFonts w:ascii="Arial" w:eastAsia="Arial" w:hAnsi="Arial" w:cs="Arial"/>
          <w:color w:val="000000"/>
        </w:rPr>
        <w:t>Véase el asunto SUP-JE-102/2021.</w:t>
      </w:r>
    </w:p>
  </w:footnote>
  <w:footnote w:id="10">
    <w:p w14:paraId="13599364" w14:textId="77777777" w:rsidR="00DE7B67" w:rsidRDefault="00044E47">
      <w:pPr>
        <w:rPr>
          <w:rFonts w:ascii="Arial" w:eastAsia="Arial" w:hAnsi="Arial" w:cs="Arial"/>
        </w:rPr>
      </w:pPr>
      <w:r>
        <w:rPr>
          <w:vertAlign w:val="superscript"/>
        </w:rPr>
        <w:footnoteRef/>
      </w:r>
      <w:r>
        <w:rPr>
          <w:rFonts w:ascii="Arial" w:eastAsia="Arial" w:hAnsi="Arial" w:cs="Arial"/>
        </w:rPr>
        <w:t xml:space="preserve"> Similar criterio sostuvo la Sala Regional Especializada al resolver el asunto SRE-PSD-130/2018.</w:t>
      </w:r>
    </w:p>
  </w:footnote>
  <w:footnote w:id="11">
    <w:p w14:paraId="6E781707" w14:textId="77777777" w:rsidR="00DE7B67" w:rsidRDefault="00044E47">
      <w:pPr>
        <w:pBdr>
          <w:top w:val="nil"/>
          <w:left w:val="nil"/>
          <w:bottom w:val="nil"/>
          <w:right w:val="nil"/>
          <w:between w:val="nil"/>
        </w:pBdr>
        <w:jc w:val="both"/>
        <w:rPr>
          <w:rFonts w:ascii="Arial" w:eastAsia="Arial" w:hAnsi="Arial" w:cs="Arial"/>
          <w:color w:val="000000"/>
        </w:rPr>
      </w:pPr>
      <w:r>
        <w:rPr>
          <w:vertAlign w:val="superscript"/>
        </w:rPr>
        <w:footnoteRef/>
      </w:r>
      <w:r>
        <w:rPr>
          <w:rFonts w:ascii="Arial" w:eastAsia="Arial" w:hAnsi="Arial" w:cs="Arial"/>
          <w:color w:val="000000"/>
        </w:rPr>
        <w:t xml:space="preserve"> Tesis</w:t>
      </w:r>
      <w:r>
        <w:rPr>
          <w:rFonts w:ascii="Arial" w:eastAsia="Arial" w:hAnsi="Arial" w:cs="Arial"/>
        </w:rPr>
        <w:t xml:space="preserve"> </w:t>
      </w:r>
      <w:r>
        <w:rPr>
          <w:rFonts w:ascii="Arial" w:eastAsia="Arial" w:hAnsi="Arial" w:cs="Arial"/>
          <w:color w:val="000000"/>
        </w:rPr>
        <w:t xml:space="preserve">XXXIV/2004, de rubro: </w:t>
      </w:r>
      <w:r>
        <w:rPr>
          <w:rFonts w:ascii="Arial" w:eastAsia="Arial" w:hAnsi="Arial" w:cs="Arial"/>
          <w:i/>
        </w:rPr>
        <w:t>“</w:t>
      </w:r>
      <w:r>
        <w:rPr>
          <w:rFonts w:ascii="Arial" w:eastAsia="Arial" w:hAnsi="Arial" w:cs="Arial"/>
          <w:i/>
          <w:color w:val="000000"/>
        </w:rPr>
        <w:t>PARTIDOS POLÍTICOS. SON IMPUTABLES POR LA CONDUCTA DE SUS MIEMBROS Y PERSONAS RELACIONADAS CON SUS ACTIVIDADES.</w:t>
      </w:r>
      <w:r>
        <w:rPr>
          <w:rFonts w:ascii="Arial" w:eastAsia="Arial" w:hAnsi="Arial" w:cs="Arial"/>
          <w:i/>
        </w:rPr>
        <w:t>”</w:t>
      </w:r>
      <w:r>
        <w:rPr>
          <w:rFonts w:ascii="Arial" w:eastAsia="Arial" w:hAnsi="Arial" w:cs="Arial"/>
        </w:rPr>
        <w:t xml:space="preserve">, visible en la </w:t>
      </w:r>
      <w:r>
        <w:rPr>
          <w:rFonts w:ascii="Arial" w:eastAsia="Arial" w:hAnsi="Arial" w:cs="Arial"/>
          <w:highlight w:val="white"/>
        </w:rPr>
        <w:t xml:space="preserve">Compilación Oficial de Jurisprudencia y Tesis Relevantes 1997-2005 </w:t>
      </w:r>
      <w:proofErr w:type="gramStart"/>
      <w:r>
        <w:rPr>
          <w:rFonts w:ascii="Arial" w:eastAsia="Arial" w:hAnsi="Arial" w:cs="Arial"/>
          <w:highlight w:val="white"/>
        </w:rPr>
        <w:t>del  Tribunal</w:t>
      </w:r>
      <w:proofErr w:type="gramEnd"/>
      <w:r>
        <w:rPr>
          <w:rFonts w:ascii="Arial" w:eastAsia="Arial" w:hAnsi="Arial" w:cs="Arial"/>
          <w:highlight w:val="white"/>
        </w:rPr>
        <w:t xml:space="preserve"> Electoral del Poder Judicial de la Federación, páginas 754 a 756.</w:t>
      </w:r>
      <w:r>
        <w:rPr>
          <w:rFonts w:ascii="Arial" w:eastAsia="Arial" w:hAnsi="Arial" w:cs="Arial"/>
          <w:color w:val="000000"/>
        </w:rPr>
        <w:t xml:space="preserve"> </w:t>
      </w:r>
    </w:p>
  </w:footnote>
  <w:footnote w:id="12">
    <w:p w14:paraId="10184E20" w14:textId="77777777" w:rsidR="00DE7B67" w:rsidRDefault="00044E47">
      <w:pPr>
        <w:pBdr>
          <w:top w:val="nil"/>
          <w:left w:val="nil"/>
          <w:bottom w:val="nil"/>
          <w:right w:val="nil"/>
          <w:between w:val="nil"/>
        </w:pBdr>
        <w:jc w:val="both"/>
        <w:rPr>
          <w:rFonts w:ascii="Arial" w:eastAsia="Arial" w:hAnsi="Arial" w:cs="Arial"/>
          <w:color w:val="000000"/>
        </w:rPr>
      </w:pPr>
      <w:r>
        <w:rPr>
          <w:vertAlign w:val="superscript"/>
        </w:rPr>
        <w:footnoteRef/>
      </w:r>
      <w:r>
        <w:rPr>
          <w:rFonts w:ascii="Arial" w:eastAsia="Arial" w:hAnsi="Arial" w:cs="Arial"/>
          <w:color w:val="000000"/>
        </w:rPr>
        <w:t xml:space="preserve"> </w:t>
      </w:r>
      <w:r>
        <w:rPr>
          <w:rFonts w:ascii="Arial" w:eastAsia="Arial" w:hAnsi="Arial" w:cs="Arial"/>
        </w:rPr>
        <w:t xml:space="preserve">Artículo </w:t>
      </w:r>
      <w:r>
        <w:rPr>
          <w:rFonts w:ascii="Arial" w:eastAsia="Arial" w:hAnsi="Arial" w:cs="Arial"/>
          <w:color w:val="000000"/>
        </w:rPr>
        <w:t>242.- Constituyen infracciones de los partidos políticos al presente Código:</w:t>
      </w:r>
      <w:r>
        <w:rPr>
          <w:rFonts w:ascii="Arial" w:eastAsia="Arial" w:hAnsi="Arial" w:cs="Arial"/>
        </w:rPr>
        <w:t xml:space="preserve"> </w:t>
      </w:r>
      <w:r>
        <w:rPr>
          <w:rFonts w:ascii="Arial" w:eastAsia="Arial" w:hAnsi="Arial" w:cs="Arial"/>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53C7F" w14:textId="4597CD42" w:rsidR="00DE7B67" w:rsidRDefault="00504E7D">
    <w:pPr>
      <w:pBdr>
        <w:top w:val="nil"/>
        <w:left w:val="nil"/>
        <w:bottom w:val="nil"/>
        <w:right w:val="nil"/>
        <w:between w:val="nil"/>
      </w:pBdr>
      <w:tabs>
        <w:tab w:val="center" w:pos="4419"/>
        <w:tab w:val="right" w:pos="8838"/>
      </w:tabs>
      <w:rPr>
        <w:color w:val="000000"/>
      </w:rPr>
    </w:pPr>
    <w:r>
      <w:rPr>
        <w:noProof/>
      </w:rPr>
      <w:pict w14:anchorId="75D69E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20094" o:spid="_x0000_s1026" type="#_x0000_t136" style="position:absolute;margin-left:0;margin-top:0;width:591.85pt;height:91.05pt;rotation:315;z-index:-251652096;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r w:rsidR="00044E47">
      <w:rPr>
        <w:noProof/>
        <w:color w:val="000000"/>
      </w:rPr>
      <mc:AlternateContent>
        <mc:Choice Requires="wps">
          <w:drawing>
            <wp:anchor distT="0" distB="0" distL="0" distR="0" simplePos="0" relativeHeight="251658240" behindDoc="1" locked="0" layoutInCell="1" hidden="0" allowOverlap="1" wp14:anchorId="5E426D7C" wp14:editId="356F28DB">
              <wp:simplePos x="0" y="0"/>
              <wp:positionH relativeFrom="margin">
                <wp:align>center</wp:align>
              </wp:positionH>
              <wp:positionV relativeFrom="margin">
                <wp:align>center</wp:align>
              </wp:positionV>
              <wp:extent cx="63784586" cy="63784586"/>
              <wp:effectExtent l="0" t="0" r="0" b="0"/>
              <wp:wrapNone/>
              <wp:docPr id="75" name="Rectángulo 75"/>
              <wp:cNvGraphicFramePr/>
              <a:graphic xmlns:a="http://schemas.openxmlformats.org/drawingml/2006/main">
                <a:graphicData uri="http://schemas.microsoft.com/office/word/2010/wordprocessingShape">
                  <wps:wsp>
                    <wps:cNvSpPr/>
                    <wps:spPr>
                      <a:xfrm rot="-2700000">
                        <a:off x="1917318" y="3252633"/>
                        <a:ext cx="6857365" cy="1054735"/>
                      </a:xfrm>
                      <a:prstGeom prst="rect">
                        <a:avLst/>
                      </a:prstGeom>
                      <a:noFill/>
                      <a:ln>
                        <a:noFill/>
                      </a:ln>
                    </wps:spPr>
                    <wps:txbx>
                      <w:txbxContent>
                        <w:p w14:paraId="4E086E1A" w14:textId="77777777" w:rsidR="00DE7B67" w:rsidRDefault="00044E47">
                          <w:pPr>
                            <w:jc w:val="center"/>
                            <w:textDirection w:val="btLr"/>
                          </w:pPr>
                          <w:r>
                            <w:rPr>
                              <w:rFonts w:ascii="Arial" w:eastAsia="Arial" w:hAnsi="Arial" w:cs="Arial"/>
                              <w:color w:val="C0C0C0"/>
                              <w:sz w:val="144"/>
                            </w:rPr>
                            <w:t>PARA CONSULTA</w:t>
                          </w:r>
                        </w:p>
                      </w:txbxContent>
                    </wps:txbx>
                    <wps:bodyPr spcFirstLastPara="1" wrap="square" lIns="91425" tIns="91425" rIns="91425" bIns="91425" anchor="ctr" anchorCtr="0">
                      <a:noAutofit/>
                    </wps:bodyPr>
                  </wps:wsp>
                </a:graphicData>
              </a:graphic>
            </wp:anchor>
          </w:drawing>
        </mc:Choice>
        <mc:Fallback>
          <w:pict>
            <v:rect w14:anchorId="5E426D7C" id="Rectángulo 75" o:spid="_x0000_s1026" style="position:absolute;margin-left:0;margin-top:0;width:5022.4pt;height:5022.4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" filled="f" stroked="f">
              <v:textbox inset="2.53958mm,2.53958mm,2.53958mm,2.53958mm">
                <w:txbxContent>
                  <w:p w14:paraId="4E086E1A" w14:textId="77777777" w:rsidR="00DE7B67" w:rsidRDefault="00044E47">
                    <w:pPr>
                      <w:jc w:val="center"/>
                      <w:textDirection w:val="btLr"/>
                    </w:pPr>
                    <w:r>
                      <w:rPr>
                        <w:rFonts w:ascii="Arial" w:eastAsia="Arial" w:hAnsi="Arial" w:cs="Arial"/>
                        <w:color w:val="C0C0C0"/>
                        <w:sz w:val="144"/>
                      </w:rPr>
                      <w:t>PARA CONSULTA</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EEE0" w14:textId="3CDCE464" w:rsidR="00DE7B67" w:rsidRDefault="00504E7D">
    <w:pPr>
      <w:pBdr>
        <w:top w:val="nil"/>
        <w:left w:val="nil"/>
        <w:bottom w:val="nil"/>
        <w:right w:val="nil"/>
        <w:between w:val="nil"/>
      </w:pBdr>
      <w:tabs>
        <w:tab w:val="center" w:pos="4419"/>
        <w:tab w:val="right" w:pos="8838"/>
      </w:tabs>
    </w:pPr>
    <w:r>
      <w:rPr>
        <w:noProof/>
      </w:rPr>
      <w:pict w14:anchorId="685FC3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20095" o:spid="_x0000_s1027" type="#_x0000_t136" style="position:absolute;margin-left:0;margin-top:0;width:591.85pt;height:91.05pt;rotation:315;z-index:-251650048;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p>
  <w:sdt>
    <w:sdtPr>
      <w:id w:val="-2068718244"/>
      <w:docPartObj>
        <w:docPartGallery w:val="Page Numbers (Margins)"/>
        <w:docPartUnique/>
      </w:docPartObj>
    </w:sdtPr>
    <w:sdtEndPr/>
    <w:sdtContent>
      <w:p w14:paraId="704D3685" w14:textId="77777777" w:rsidR="00DE7B67" w:rsidRDefault="00E818C0">
        <w:pPr>
          <w:pBdr>
            <w:top w:val="nil"/>
            <w:left w:val="nil"/>
            <w:bottom w:val="nil"/>
            <w:right w:val="nil"/>
            <w:between w:val="nil"/>
          </w:pBdr>
          <w:tabs>
            <w:tab w:val="center" w:pos="4419"/>
            <w:tab w:val="right" w:pos="8838"/>
          </w:tabs>
        </w:pPr>
        <w:r>
          <w:rPr>
            <w:noProof/>
          </w:rPr>
          <mc:AlternateContent>
            <mc:Choice Requires="wps">
              <w:drawing>
                <wp:anchor distT="0" distB="0" distL="114300" distR="114300" simplePos="0" relativeHeight="251660288" behindDoc="0" locked="0" layoutInCell="0" allowOverlap="1" wp14:anchorId="01A1C540" wp14:editId="2B943D2F">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3618CB3E" w14:textId="77777777" w:rsidR="00E818C0" w:rsidRDefault="00E818C0">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1C540" id="Rectángulo 1" o:spid="_x0000_s1027"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NCgIAAO4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3618CB3E" w14:textId="77777777" w:rsidR="00E818C0" w:rsidRDefault="00E818C0">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p>
    </w:sdtContent>
  </w:sdt>
  <w:p w14:paraId="5077BD2C" w14:textId="77777777" w:rsidR="00DE7B67" w:rsidRDefault="00DE7B67">
    <w:pPr>
      <w:pBdr>
        <w:top w:val="nil"/>
        <w:left w:val="nil"/>
        <w:bottom w:val="nil"/>
        <w:right w:val="nil"/>
        <w:between w:val="nil"/>
      </w:pBdr>
      <w:tabs>
        <w:tab w:val="center" w:pos="4419"/>
        <w:tab w:val="right" w:pos="8838"/>
      </w:tabs>
    </w:pPr>
  </w:p>
  <w:p w14:paraId="1CA12ADC" w14:textId="77777777" w:rsidR="00DE7B67" w:rsidRDefault="00DE7B67">
    <w:pPr>
      <w:pBdr>
        <w:top w:val="nil"/>
        <w:left w:val="nil"/>
        <w:bottom w:val="nil"/>
        <w:right w:val="nil"/>
        <w:between w:val="nil"/>
      </w:pBdr>
      <w:tabs>
        <w:tab w:val="center" w:pos="4419"/>
        <w:tab w:val="right" w:pos="8838"/>
      </w:tabs>
    </w:pPr>
  </w:p>
  <w:p w14:paraId="6DF606A5" w14:textId="77777777" w:rsidR="00DE7B67" w:rsidRDefault="00044E47">
    <w:pPr>
      <w:pBdr>
        <w:top w:val="nil"/>
        <w:left w:val="nil"/>
        <w:bottom w:val="nil"/>
        <w:right w:val="nil"/>
        <w:between w:val="nil"/>
      </w:pBdr>
      <w:tabs>
        <w:tab w:val="center" w:pos="4419"/>
        <w:tab w:val="right" w:pos="8838"/>
      </w:tabs>
      <w:rPr>
        <w:color w:val="000000"/>
      </w:rPr>
    </w:pPr>
    <w:r>
      <w:rPr>
        <w:noProof/>
        <w:color w:val="000000"/>
      </w:rPr>
      <w:drawing>
        <wp:inline distT="0" distB="0" distL="0" distR="0" wp14:anchorId="047F283D" wp14:editId="1D375500">
          <wp:extent cx="995527" cy="1154534"/>
          <wp:effectExtent l="0" t="0" r="0" b="0"/>
          <wp:docPr id="7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95527" cy="1154534"/>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9E2A0" w14:textId="39462150" w:rsidR="00DE7B67" w:rsidRDefault="00504E7D">
    <w:pPr>
      <w:pBdr>
        <w:top w:val="nil"/>
        <w:left w:val="nil"/>
        <w:bottom w:val="nil"/>
        <w:right w:val="nil"/>
        <w:between w:val="nil"/>
      </w:pBdr>
      <w:tabs>
        <w:tab w:val="center" w:pos="4419"/>
        <w:tab w:val="right" w:pos="8838"/>
      </w:tabs>
      <w:rPr>
        <w:color w:val="000000"/>
      </w:rPr>
    </w:pPr>
    <w:r>
      <w:rPr>
        <w:noProof/>
      </w:rPr>
      <w:pict w14:anchorId="718FEB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120093" o:spid="_x0000_s1025" type="#_x0000_t136" style="position:absolute;margin-left:0;margin-top:0;width:591.85pt;height:91.05pt;rotation:315;z-index:-251654144;mso-position-horizontal:center;mso-position-horizontal-relative:margin;mso-position-vertical:center;mso-position-vertical-relative:margin" o:allowincell="f" fillcolor="silver" stroked="f">
          <v:fill opacity=".5"/>
          <v:textpath style="font-family:&quot;Times New Roman&quot;;font-size:1pt" string="PARA CONSULT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9F0"/>
    <w:multiLevelType w:val="multilevel"/>
    <w:tmpl w:val="84C85C92"/>
    <w:lvl w:ilvl="0">
      <w:start w:val="1"/>
      <w:numFmt w:val="decimal"/>
      <w:lvlText w:val="%1."/>
      <w:lvlJc w:val="left"/>
      <w:pPr>
        <w:ind w:left="480" w:hanging="48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 w15:restartNumberingAfterBreak="0">
    <w:nsid w:val="1F054CA1"/>
    <w:multiLevelType w:val="multilevel"/>
    <w:tmpl w:val="1032CA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4F15E0"/>
    <w:multiLevelType w:val="multilevel"/>
    <w:tmpl w:val="DE40C2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FEE4B27"/>
    <w:multiLevelType w:val="multilevel"/>
    <w:tmpl w:val="D4428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1022C5A"/>
    <w:multiLevelType w:val="multilevel"/>
    <w:tmpl w:val="67689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EEC3C6C"/>
    <w:multiLevelType w:val="multilevel"/>
    <w:tmpl w:val="97CAB27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2047149"/>
    <w:multiLevelType w:val="multilevel"/>
    <w:tmpl w:val="A82E7CC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0040A0D"/>
    <w:multiLevelType w:val="multilevel"/>
    <w:tmpl w:val="680876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81018378">
    <w:abstractNumId w:val="7"/>
  </w:num>
  <w:num w:numId="2" w16cid:durableId="1138498000">
    <w:abstractNumId w:val="3"/>
  </w:num>
  <w:num w:numId="3" w16cid:durableId="612446234">
    <w:abstractNumId w:val="0"/>
  </w:num>
  <w:num w:numId="4" w16cid:durableId="1476216594">
    <w:abstractNumId w:val="4"/>
  </w:num>
  <w:num w:numId="5" w16cid:durableId="123158914">
    <w:abstractNumId w:val="6"/>
  </w:num>
  <w:num w:numId="6" w16cid:durableId="2133858453">
    <w:abstractNumId w:val="2"/>
  </w:num>
  <w:num w:numId="7" w16cid:durableId="1925189069">
    <w:abstractNumId w:val="5"/>
  </w:num>
  <w:num w:numId="8" w16cid:durableId="1474592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B67"/>
    <w:rsid w:val="00044E47"/>
    <w:rsid w:val="003D4D2E"/>
    <w:rsid w:val="00504E7D"/>
    <w:rsid w:val="007A4C64"/>
    <w:rsid w:val="009F6D2F"/>
    <w:rsid w:val="00B74DC1"/>
    <w:rsid w:val="00BF64B4"/>
    <w:rsid w:val="00C34E68"/>
    <w:rsid w:val="00DE7B67"/>
    <w:rsid w:val="00E818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8E80F"/>
  <w15:docId w15:val="{B229BACE-DB87-494A-ADEF-A9E7107D2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74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CellMar>
        <w:left w:w="115" w:type="dxa"/>
        <w:right w:w="115" w:type="dxa"/>
      </w:tblCellMar>
    </w:tblPr>
  </w:style>
  <w:style w:type="table" w:customStyle="1" w:styleId="a0">
    <w:basedOn w:val="TableNormal7"/>
    <w:rPr>
      <w:color w:val="7B7B7B"/>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7"/>
    <w:rPr>
      <w:color w:val="7B7B7B"/>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2">
    <w:basedOn w:val="TableNormal7"/>
    <w:tblPr>
      <w:tblStyleRowBandSize w:val="1"/>
      <w:tblStyleColBandSize w:val="1"/>
      <w:tblCellMar>
        <w:left w:w="115" w:type="dxa"/>
        <w:right w:w="115" w:type="dxa"/>
      </w:tblCellMar>
    </w:tblPr>
  </w:style>
  <w:style w:type="paragraph" w:styleId="Sinespaciado">
    <w:name w:val="No Spacing"/>
    <w:uiPriority w:val="1"/>
    <w:qFormat/>
    <w:rsid w:val="00CA1ACF"/>
  </w:style>
  <w:style w:type="table" w:styleId="Tabladelista4">
    <w:name w:val="List Table 4"/>
    <w:basedOn w:val="Tablanormal"/>
    <w:uiPriority w:val="49"/>
    <w:rsid w:val="00CA1AC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
    <w:name w:val="Grid Table 4"/>
    <w:basedOn w:val="Tablanormal"/>
    <w:uiPriority w:val="49"/>
    <w:rsid w:val="00CA1AC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rrafodelista">
    <w:name w:val="List Paragraph"/>
    <w:aliases w:val="CNBV Parrafo1,Cita texto,Párrafo de lista1,Parrafo 1,Lista multicolor - Énfasis 11,Lista vistosa - Énfasis 11,Cuadrícula media 1 - Énfasis 21,Listas,List Paragraph-Thesis,Footnote,List Paragraph2,List Paragraph1,Colorful List - Accent 1"/>
    <w:basedOn w:val="Normal"/>
    <w:link w:val="PrrafodelistaCar"/>
    <w:uiPriority w:val="34"/>
    <w:qFormat/>
    <w:rsid w:val="0089131C"/>
    <w:pPr>
      <w:ind w:left="720"/>
      <w:contextualSpacing/>
    </w:pPr>
  </w:style>
  <w:style w:type="table" w:customStyle="1" w:styleId="a3">
    <w:basedOn w:val="TableNormal7"/>
    <w:rPr>
      <w:color w:val="7B7B7B"/>
    </w:rPr>
    <w:tblPr>
      <w:tblStyleRowBandSize w:val="1"/>
      <w:tblStyleColBandSize w:val="1"/>
      <w:tblCellMar>
        <w:left w:w="115" w:type="dxa"/>
        <w:right w:w="115" w:type="dxa"/>
      </w:tblCellMar>
    </w:tblPr>
    <w:tcPr>
      <w:shd w:val="clear" w:color="auto" w:fill="DEEBF6"/>
    </w:tcPr>
  </w:style>
  <w:style w:type="table" w:customStyle="1" w:styleId="a4">
    <w:basedOn w:val="TableNormal7"/>
    <w:tblPr>
      <w:tblStyleRowBandSize w:val="1"/>
      <w:tblStyleColBandSize w:val="1"/>
      <w:tblCellMar>
        <w:left w:w="108" w:type="dxa"/>
        <w:right w:w="108"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5">
    <w:basedOn w:val="TableNormal7"/>
    <w:rPr>
      <w:color w:val="7B7B7B"/>
    </w:rPr>
    <w:tblPr>
      <w:tblStyleRowBandSize w:val="1"/>
      <w:tblStyleColBandSize w:val="1"/>
      <w:tblCellMar>
        <w:left w:w="115" w:type="dxa"/>
        <w:right w:w="115" w:type="dxa"/>
      </w:tblCellMar>
    </w:tblPr>
    <w:tcPr>
      <w:shd w:val="clear" w:color="auto" w:fill="DEEBF6"/>
    </w:tcPr>
  </w:style>
  <w:style w:type="table" w:styleId="Tablaconcuadrcula">
    <w:name w:val="Table Grid"/>
    <w:basedOn w:val="Tablanormal"/>
    <w:uiPriority w:val="39"/>
    <w:rsid w:val="00E509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NBV Parrafo1 Car,Cita texto Car,Párrafo de lista1 Car,Parrafo 1 Car,Lista multicolor - Énfasis 11 Car,Lista vistosa - Énfasis 11 Car,Cuadrícula media 1 - Énfasis 21 Car,Listas Car,List Paragraph-Thesis Car,Footnote Car"/>
    <w:link w:val="Prrafodelista"/>
    <w:uiPriority w:val="34"/>
    <w:qFormat/>
    <w:locked/>
    <w:rsid w:val="00E509F9"/>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E509F9"/>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qFormat/>
    <w:rsid w:val="00E509F9"/>
  </w:style>
  <w:style w:type="character" w:styleId="Refdenotaalpie">
    <w:name w:val="footnote reference"/>
    <w:aliases w:val="Texto de nota al pie,Appel note de bas de page,Ref. de nota al pie 2,Footnotes refss,Footnote number,referencia nota al pie,BVI fnr,4_G,16 Point,Superscript 6 Point,Texto nota al pie,f,Footnote Reference Char3,Footnote Reference,ftre"/>
    <w:basedOn w:val="Fuentedeprrafopredeter"/>
    <w:link w:val="4GChar"/>
    <w:uiPriority w:val="99"/>
    <w:unhideWhenUsed/>
    <w:qFormat/>
    <w:rsid w:val="00E509F9"/>
    <w:rPr>
      <w:vertAlign w:val="superscript"/>
    </w:rPr>
  </w:style>
  <w:style w:type="table" w:customStyle="1" w:styleId="Tabladecuadrcula4-nfasis31">
    <w:name w:val="Tabla de cuadrícula 4 - Énfasis 31"/>
    <w:basedOn w:val="Tablanormal"/>
    <w:next w:val="Tablaconcuadrcula4-nfasis3"/>
    <w:uiPriority w:val="49"/>
    <w:rsid w:val="00E509F9"/>
    <w:rPr>
      <w:rFonts w:asciiTheme="minorHAnsi" w:eastAsiaTheme="minorHAnsi" w:hAnsiTheme="minorHAnsi" w:cstheme="minorBidi"/>
      <w:sz w:val="22"/>
      <w:szCs w:val="22"/>
      <w:lang w:eastAsia="en-U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E509F9"/>
    <w:pPr>
      <w:jc w:val="both"/>
    </w:pPr>
    <w:rPr>
      <w:vertAlign w:val="superscript"/>
    </w:rPr>
  </w:style>
  <w:style w:type="character" w:styleId="Hipervnculo">
    <w:name w:val="Hyperlink"/>
    <w:basedOn w:val="Fuentedeprrafopredeter"/>
    <w:uiPriority w:val="99"/>
    <w:unhideWhenUsed/>
    <w:rsid w:val="00E509F9"/>
    <w:rPr>
      <w:color w:val="0000FF" w:themeColor="hyperlink"/>
      <w:u w:val="single"/>
    </w:rPr>
  </w:style>
  <w:style w:type="table" w:styleId="Tablaconcuadrcula4-nfasis3">
    <w:name w:val="Grid Table 4 Accent 3"/>
    <w:basedOn w:val="Tablanormal"/>
    <w:uiPriority w:val="49"/>
    <w:rsid w:val="00E509F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a6">
    <w:basedOn w:val="TableNormal6"/>
    <w:rPr>
      <w:color w:val="7B7B7B"/>
    </w:rPr>
    <w:tblPr>
      <w:tblStyleRowBandSize w:val="1"/>
      <w:tblStyleColBandSize w:val="1"/>
      <w:tblCellMar>
        <w:left w:w="115" w:type="dxa"/>
        <w:right w:w="115" w:type="dxa"/>
      </w:tblCellMar>
    </w:tblPr>
    <w:tcPr>
      <w:shd w:val="clear" w:color="auto" w:fill="DEEBF6"/>
    </w:tcPr>
  </w:style>
  <w:style w:type="table" w:customStyle="1" w:styleId="a7">
    <w:basedOn w:val="TableNormal6"/>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8">
    <w:basedOn w:val="TableNormal6"/>
    <w:rPr>
      <w:rFonts w:ascii="Cambria" w:eastAsia="Cambria" w:hAnsi="Cambria" w:cs="Cambria"/>
      <w:sz w:val="22"/>
      <w:szCs w:val="22"/>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9">
    <w:basedOn w:val="TableNormal6"/>
    <w:rPr>
      <w:rFonts w:ascii="Cambria" w:eastAsia="Cambria" w:hAnsi="Cambria" w:cs="Cambria"/>
      <w:sz w:val="22"/>
      <w:szCs w:val="22"/>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a">
    <w:basedOn w:val="TableNormal6"/>
    <w:tblPr>
      <w:tblStyleRowBandSize w:val="1"/>
      <w:tblStyleColBandSize w:val="1"/>
      <w:tblCellMar>
        <w:left w:w="115" w:type="dxa"/>
        <w:right w:w="115" w:type="dxa"/>
      </w:tblCellMar>
    </w:tblPr>
  </w:style>
  <w:style w:type="table" w:customStyle="1" w:styleId="ab">
    <w:basedOn w:val="TableNormal6"/>
    <w:rPr>
      <w:color w:val="7B7B7B"/>
    </w:rPr>
    <w:tblPr>
      <w:tblStyleRowBandSize w:val="1"/>
      <w:tblStyleColBandSize w:val="1"/>
      <w:tblCellMar>
        <w:left w:w="115" w:type="dxa"/>
        <w:right w:w="115" w:type="dxa"/>
      </w:tblCellMar>
    </w:tblPr>
    <w:tcPr>
      <w:shd w:val="clear" w:color="auto" w:fill="DEEBF6"/>
    </w:tcPr>
  </w:style>
  <w:style w:type="paragraph" w:styleId="NormalWeb">
    <w:name w:val="Normal (Web)"/>
    <w:basedOn w:val="Normal"/>
    <w:uiPriority w:val="99"/>
    <w:unhideWhenUsed/>
    <w:rsid w:val="00E85853"/>
    <w:pPr>
      <w:spacing w:before="100" w:beforeAutospacing="1" w:after="100" w:afterAutospacing="1"/>
    </w:pPr>
    <w:rPr>
      <w:sz w:val="24"/>
      <w:szCs w:val="24"/>
    </w:rPr>
  </w:style>
  <w:style w:type="table" w:customStyle="1" w:styleId="ac">
    <w:basedOn w:val="TableNormal5"/>
    <w:rPr>
      <w:color w:val="7B7B7B"/>
    </w:rPr>
    <w:tblPr>
      <w:tblStyleRowBandSize w:val="1"/>
      <w:tblStyleColBandSize w:val="1"/>
      <w:tblCellMar>
        <w:left w:w="115" w:type="dxa"/>
        <w:right w:w="115" w:type="dxa"/>
      </w:tblCellMar>
    </w:tblPr>
    <w:tcPr>
      <w:shd w:val="clear" w:color="auto" w:fill="DEEBF6"/>
    </w:tcPr>
  </w:style>
  <w:style w:type="table" w:customStyle="1" w:styleId="ad">
    <w:basedOn w:val="TableNormal5"/>
    <w:rPr>
      <w:rFonts w:ascii="Cambria" w:eastAsia="Cambria" w:hAnsi="Cambria" w:cs="Cambria"/>
      <w:color w:val="7B7B7B"/>
      <w:sz w:val="22"/>
      <w:szCs w:val="22"/>
    </w:rPr>
    <w:tblPr>
      <w:tblStyleRowBandSize w:val="1"/>
      <w:tblStyleColBandSize w:val="1"/>
      <w:tblCellMar>
        <w:left w:w="115" w:type="dxa"/>
        <w:right w:w="115" w:type="dxa"/>
      </w:tblCellMar>
    </w:tblPr>
    <w:tcPr>
      <w:shd w:val="clear" w:color="auto" w:fill="DEEBF6"/>
    </w:tcPr>
  </w:style>
  <w:style w:type="table" w:customStyle="1" w:styleId="ae">
    <w:basedOn w:val="TableNormal5"/>
    <w:rPr>
      <w:rFonts w:ascii="Cambria" w:eastAsia="Cambria" w:hAnsi="Cambria" w:cs="Cambria"/>
      <w:color w:val="7B7B7B"/>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
    <w:basedOn w:val="TableNormal5"/>
    <w:rPr>
      <w:rFonts w:ascii="Cambria" w:eastAsia="Cambria" w:hAnsi="Cambria" w:cs="Cambria"/>
      <w:color w:val="7B7B7B"/>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0">
    <w:basedOn w:val="TableNormal5"/>
    <w:rPr>
      <w:rFonts w:ascii="Cambria" w:eastAsia="Cambria" w:hAnsi="Cambria" w:cs="Cambria"/>
      <w:color w:val="7B7B7B"/>
      <w:sz w:val="22"/>
      <w:szCs w:val="22"/>
    </w:rPr>
    <w:tblPr>
      <w:tblStyleRowBandSize w:val="1"/>
      <w:tblStyleColBandSize w:val="1"/>
      <w:tblCellMar>
        <w:left w:w="115" w:type="dxa"/>
        <w:right w:w="115" w:type="dxa"/>
      </w:tblCellMar>
    </w:tblPr>
    <w:tcPr>
      <w:shd w:val="clear" w:color="auto" w:fill="DEEBF6"/>
    </w:tcPr>
  </w:style>
  <w:style w:type="paragraph" w:styleId="Piedepgina">
    <w:name w:val="footer"/>
    <w:basedOn w:val="Normal"/>
    <w:link w:val="PiedepginaCar"/>
    <w:uiPriority w:val="99"/>
    <w:unhideWhenUsed/>
    <w:rsid w:val="00982A09"/>
    <w:pPr>
      <w:tabs>
        <w:tab w:val="center" w:pos="4419"/>
        <w:tab w:val="right" w:pos="8838"/>
      </w:tabs>
    </w:pPr>
  </w:style>
  <w:style w:type="character" w:customStyle="1" w:styleId="PiedepginaCar">
    <w:name w:val="Pie de página Car"/>
    <w:basedOn w:val="Fuentedeprrafopredeter"/>
    <w:link w:val="Piedepgina"/>
    <w:uiPriority w:val="99"/>
    <w:rsid w:val="00982A09"/>
  </w:style>
  <w:style w:type="paragraph" w:styleId="Encabezado">
    <w:name w:val="header"/>
    <w:basedOn w:val="Normal"/>
    <w:link w:val="EncabezadoCar"/>
    <w:uiPriority w:val="99"/>
    <w:unhideWhenUsed/>
    <w:rsid w:val="00982A09"/>
    <w:pPr>
      <w:tabs>
        <w:tab w:val="center" w:pos="4419"/>
        <w:tab w:val="right" w:pos="8838"/>
      </w:tabs>
    </w:pPr>
  </w:style>
  <w:style w:type="character" w:customStyle="1" w:styleId="EncabezadoCar">
    <w:name w:val="Encabezado Car"/>
    <w:basedOn w:val="Fuentedeprrafopredeter"/>
    <w:link w:val="Encabezado"/>
    <w:uiPriority w:val="99"/>
    <w:rsid w:val="00982A09"/>
  </w:style>
  <w:style w:type="character" w:styleId="Mencinsinresolver">
    <w:name w:val="Unresolved Mention"/>
    <w:basedOn w:val="Fuentedeprrafopredeter"/>
    <w:uiPriority w:val="99"/>
    <w:semiHidden/>
    <w:unhideWhenUsed/>
    <w:rsid w:val="000D4DFF"/>
    <w:rPr>
      <w:color w:val="605E5C"/>
      <w:shd w:val="clear" w:color="auto" w:fill="E1DFDD"/>
    </w:rPr>
  </w:style>
  <w:style w:type="table" w:customStyle="1" w:styleId="af1">
    <w:basedOn w:val="TableNormal4"/>
    <w:rPr>
      <w:rFonts w:ascii="Cambria" w:eastAsia="Cambria" w:hAnsi="Cambria" w:cs="Cambria"/>
      <w:color w:val="7B7B7B"/>
      <w:sz w:val="22"/>
      <w:szCs w:val="22"/>
    </w:rPr>
    <w:tblPr>
      <w:tblStyleRowBandSize w:val="1"/>
      <w:tblStyleColBandSize w:val="1"/>
      <w:tblCellMar>
        <w:left w:w="115" w:type="dxa"/>
        <w:right w:w="115" w:type="dxa"/>
      </w:tblCellMar>
    </w:tblPr>
    <w:tcPr>
      <w:shd w:val="clear" w:color="auto" w:fill="DEEBF6"/>
    </w:tcPr>
  </w:style>
  <w:style w:type="table" w:customStyle="1" w:styleId="af2">
    <w:basedOn w:val="TableNormal4"/>
    <w:rPr>
      <w:rFonts w:ascii="Cambria" w:eastAsia="Cambria" w:hAnsi="Cambria" w:cs="Cambria"/>
      <w:sz w:val="22"/>
      <w:szCs w:val="22"/>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3">
    <w:basedOn w:val="TableNormal4"/>
    <w:rPr>
      <w:rFonts w:ascii="Cambria" w:eastAsia="Cambria" w:hAnsi="Cambria" w:cs="Cambria"/>
      <w:sz w:val="22"/>
      <w:szCs w:val="22"/>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4">
    <w:basedOn w:val="TableNormal4"/>
    <w:rPr>
      <w:rFonts w:ascii="Cambria" w:eastAsia="Cambria" w:hAnsi="Cambria" w:cs="Cambria"/>
      <w:sz w:val="22"/>
      <w:szCs w:val="22"/>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5">
    <w:basedOn w:val="TableNormal4"/>
    <w:rPr>
      <w:rFonts w:ascii="Cambria" w:eastAsia="Cambria" w:hAnsi="Cambria" w:cs="Cambria"/>
      <w:color w:val="7B7B7B"/>
      <w:sz w:val="22"/>
      <w:szCs w:val="22"/>
    </w:rPr>
    <w:tblPr>
      <w:tblStyleRowBandSize w:val="1"/>
      <w:tblStyleColBandSize w:val="1"/>
      <w:tblCellMar>
        <w:left w:w="115" w:type="dxa"/>
        <w:right w:w="115" w:type="dxa"/>
      </w:tblCellMar>
    </w:tblPr>
    <w:tcPr>
      <w:shd w:val="clear" w:color="auto" w:fill="DEEBF6"/>
    </w:tcPr>
  </w:style>
  <w:style w:type="table" w:customStyle="1" w:styleId="af6">
    <w:basedOn w:val="TableNormal3"/>
    <w:rPr>
      <w:rFonts w:ascii="Cambria" w:eastAsia="Cambria" w:hAnsi="Cambria" w:cs="Cambria"/>
      <w:color w:val="7B7B7B"/>
      <w:sz w:val="22"/>
      <w:szCs w:val="22"/>
    </w:rPr>
    <w:tblPr>
      <w:tblStyleRowBandSize w:val="1"/>
      <w:tblStyleColBandSize w:val="1"/>
      <w:tblCellMar>
        <w:left w:w="115" w:type="dxa"/>
        <w:right w:w="115" w:type="dxa"/>
      </w:tblCellMar>
    </w:tblPr>
    <w:tcPr>
      <w:shd w:val="clear" w:color="auto" w:fill="DEEBF6"/>
    </w:tcPr>
  </w:style>
  <w:style w:type="table" w:customStyle="1" w:styleId="af7">
    <w:basedOn w:val="TableNormal3"/>
    <w:rPr>
      <w:rFonts w:ascii="Cambria" w:eastAsia="Cambria" w:hAnsi="Cambria" w:cs="Cambria"/>
      <w:color w:val="7B7B7B"/>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8">
    <w:basedOn w:val="TableNormal3"/>
    <w:rPr>
      <w:rFonts w:ascii="Cambria" w:eastAsia="Cambria" w:hAnsi="Cambria" w:cs="Cambria"/>
      <w:color w:val="7B7B7B"/>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9">
    <w:basedOn w:val="TableNormal3"/>
    <w:rPr>
      <w:rFonts w:ascii="Cambria" w:eastAsia="Cambria" w:hAnsi="Cambria" w:cs="Cambria"/>
      <w:color w:val="7B7B7B"/>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3"/>
    <w:tblPr>
      <w:tblStyleRowBandSize w:val="1"/>
      <w:tblStyleColBandSize w:val="1"/>
      <w:tblCellMar>
        <w:left w:w="115" w:type="dxa"/>
        <w:right w:w="115" w:type="dxa"/>
      </w:tblCellMar>
    </w:tblPr>
  </w:style>
  <w:style w:type="table" w:styleId="Tabladecuadrcula3">
    <w:name w:val="Grid Table 3"/>
    <w:basedOn w:val="Tablanormal"/>
    <w:uiPriority w:val="48"/>
    <w:rsid w:val="009149A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afc">
    <w:basedOn w:val="TableNormal2"/>
    <w:rPr>
      <w:rFonts w:ascii="Cambria" w:eastAsia="Cambria" w:hAnsi="Cambria" w:cs="Cambria"/>
      <w:color w:val="7B7B7B"/>
      <w:sz w:val="22"/>
      <w:szCs w:val="22"/>
    </w:rPr>
    <w:tblPr>
      <w:tblStyleRowBandSize w:val="1"/>
      <w:tblStyleColBandSize w:val="1"/>
      <w:tblCellMar>
        <w:top w:w="100" w:type="dxa"/>
        <w:left w:w="115" w:type="dxa"/>
        <w:bottom w:w="100" w:type="dxa"/>
        <w:right w:w="115" w:type="dxa"/>
      </w:tblCellMar>
    </w:tblPr>
    <w:tcPr>
      <w:shd w:val="clear" w:color="auto" w:fill="DEEBF6"/>
    </w:tcPr>
  </w:style>
  <w:style w:type="table" w:customStyle="1" w:styleId="afd">
    <w:basedOn w:val="TableNormal2"/>
    <w:rPr>
      <w:rFonts w:ascii="Cambria" w:eastAsia="Cambria" w:hAnsi="Cambria" w:cs="Cambria"/>
      <w:sz w:val="22"/>
      <w:szCs w:val="22"/>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e">
    <w:basedOn w:val="TableNormal2"/>
    <w:rPr>
      <w:rFonts w:ascii="Cambria" w:eastAsia="Cambria" w:hAnsi="Cambria" w:cs="Cambria"/>
      <w:sz w:val="22"/>
      <w:szCs w:val="22"/>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
    <w:basedOn w:val="TableNormal2"/>
    <w:rPr>
      <w:rFonts w:ascii="Cambria" w:eastAsia="Cambria" w:hAnsi="Cambria" w:cs="Cambria"/>
      <w:color w:val="7B7B7B"/>
      <w:sz w:val="22"/>
      <w:szCs w:val="22"/>
    </w:rPr>
    <w:tblPr>
      <w:tblStyleRowBandSize w:val="1"/>
      <w:tblStyleColBandSize w:val="1"/>
      <w:tblCellMar>
        <w:top w:w="100" w:type="dxa"/>
        <w:left w:w="115" w:type="dxa"/>
        <w:bottom w:w="100" w:type="dxa"/>
        <w:right w:w="115" w:type="dxa"/>
      </w:tblCellMar>
    </w:tblPr>
    <w:tcPr>
      <w:shd w:val="clear" w:color="auto" w:fill="DEEBF6"/>
    </w:tcPr>
  </w:style>
  <w:style w:type="table" w:customStyle="1" w:styleId="aff0">
    <w:basedOn w:val="TableNormal1"/>
    <w:rPr>
      <w:rFonts w:ascii="Cambria" w:eastAsia="Cambria" w:hAnsi="Cambria" w:cs="Cambria"/>
      <w:color w:val="7B7B7B"/>
      <w:sz w:val="22"/>
      <w:szCs w:val="22"/>
    </w:rPr>
    <w:tblPr>
      <w:tblStyleRowBandSize w:val="1"/>
      <w:tblStyleColBandSize w:val="1"/>
      <w:tblCellMar>
        <w:left w:w="115" w:type="dxa"/>
        <w:right w:w="115" w:type="dxa"/>
      </w:tblCellMar>
    </w:tblPr>
    <w:tcPr>
      <w:shd w:val="clear" w:color="auto" w:fill="DEEBF6"/>
    </w:tc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rPr>
      <w:rFonts w:ascii="Cambria" w:eastAsia="Cambria" w:hAnsi="Cambria" w:cs="Cambria"/>
      <w:color w:val="7B7B7B"/>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3">
    <w:basedOn w:val="TableNormal1"/>
    <w:rPr>
      <w:rFonts w:ascii="Cambria" w:eastAsia="Cambria" w:hAnsi="Cambria" w:cs="Cambria"/>
      <w:color w:val="7B7B7B"/>
      <w:sz w:val="22"/>
      <w:szCs w:val="22"/>
    </w:rPr>
    <w:tblPr>
      <w:tblStyleRowBandSize w:val="1"/>
      <w:tblStyleColBandSize w:val="1"/>
      <w:tblCellMar>
        <w:left w:w="115" w:type="dxa"/>
        <w:right w:w="115" w:type="dxa"/>
      </w:tblCellMar>
    </w:tblPr>
    <w:tcPr>
      <w:shd w:val="clear" w:color="auto" w:fill="DEEBF6"/>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rPr>
      <w:rFonts w:ascii="Cambria" w:eastAsia="Cambria" w:hAnsi="Cambria" w:cs="Cambria"/>
      <w:color w:val="7B7B7B"/>
      <w:sz w:val="22"/>
      <w:szCs w:val="22"/>
    </w:rPr>
    <w:tblPr>
      <w:tblStyleRowBandSize w:val="1"/>
      <w:tblStyleColBandSize w:val="1"/>
      <w:tblCellMar>
        <w:left w:w="115" w:type="dxa"/>
        <w:right w:w="115" w:type="dxa"/>
      </w:tblCellMar>
    </w:tblPr>
    <w:tcPr>
      <w:shd w:val="clear" w:color="auto" w:fill="DEEBF6"/>
    </w:tcPr>
  </w:style>
  <w:style w:type="character" w:styleId="Refdecomentario">
    <w:name w:val="annotation reference"/>
    <w:basedOn w:val="Fuentedeprrafopredeter"/>
    <w:uiPriority w:val="99"/>
    <w:semiHidden/>
    <w:unhideWhenUsed/>
    <w:rsid w:val="00515C42"/>
    <w:rPr>
      <w:sz w:val="16"/>
      <w:szCs w:val="16"/>
    </w:rPr>
  </w:style>
  <w:style w:type="paragraph" w:styleId="Textocomentario">
    <w:name w:val="annotation text"/>
    <w:basedOn w:val="Normal"/>
    <w:link w:val="TextocomentarioCar"/>
    <w:uiPriority w:val="99"/>
    <w:semiHidden/>
    <w:unhideWhenUsed/>
    <w:rsid w:val="00515C42"/>
  </w:style>
  <w:style w:type="character" w:customStyle="1" w:styleId="TextocomentarioCar">
    <w:name w:val="Texto comentario Car"/>
    <w:basedOn w:val="Fuentedeprrafopredeter"/>
    <w:link w:val="Textocomentario"/>
    <w:uiPriority w:val="99"/>
    <w:semiHidden/>
    <w:rsid w:val="00515C42"/>
  </w:style>
  <w:style w:type="paragraph" w:styleId="Asuntodelcomentario">
    <w:name w:val="annotation subject"/>
    <w:basedOn w:val="Textocomentario"/>
    <w:next w:val="Textocomentario"/>
    <w:link w:val="AsuntodelcomentarioCar"/>
    <w:uiPriority w:val="99"/>
    <w:semiHidden/>
    <w:unhideWhenUsed/>
    <w:rsid w:val="00515C42"/>
    <w:rPr>
      <w:b/>
      <w:bCs/>
    </w:rPr>
  </w:style>
  <w:style w:type="character" w:customStyle="1" w:styleId="AsuntodelcomentarioCar">
    <w:name w:val="Asunto del comentario Car"/>
    <w:basedOn w:val="TextocomentarioCar"/>
    <w:link w:val="Asuntodelcomentario"/>
    <w:uiPriority w:val="99"/>
    <w:semiHidden/>
    <w:rsid w:val="00515C42"/>
    <w:rPr>
      <w:b/>
      <w:bCs/>
    </w:rPr>
  </w:style>
  <w:style w:type="table" w:customStyle="1" w:styleId="aff6">
    <w:basedOn w:val="TableNormal0"/>
    <w:rPr>
      <w:rFonts w:ascii="Cambria" w:eastAsia="Cambria" w:hAnsi="Cambria" w:cs="Cambria"/>
      <w:color w:val="7B7B7B"/>
      <w:sz w:val="22"/>
      <w:szCs w:val="22"/>
    </w:rPr>
    <w:tblPr>
      <w:tblStyleRowBandSize w:val="1"/>
      <w:tblStyleColBandSize w:val="1"/>
      <w:tblCellMar>
        <w:left w:w="115" w:type="dxa"/>
        <w:right w:w="115" w:type="dxa"/>
      </w:tblCellMar>
    </w:tblPr>
    <w:tcPr>
      <w:shd w:val="clear" w:color="auto" w:fill="DEEBF6"/>
    </w:tcPr>
  </w:style>
  <w:style w:type="table" w:customStyle="1" w:styleId="aff7">
    <w:basedOn w:val="TableNormal0"/>
    <w:rPr>
      <w:rFonts w:ascii="Cambria" w:eastAsia="Cambria" w:hAnsi="Cambria" w:cs="Cambria"/>
      <w:sz w:val="22"/>
      <w:szCs w:val="22"/>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8">
    <w:basedOn w:val="TableNormal0"/>
    <w:rPr>
      <w:rFonts w:ascii="Cambria" w:eastAsia="Cambria" w:hAnsi="Cambria" w:cs="Cambria"/>
      <w:sz w:val="22"/>
      <w:szCs w:val="22"/>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9">
    <w:basedOn w:val="TableNormal0"/>
    <w:rPr>
      <w:rFonts w:ascii="Cambria" w:eastAsia="Cambria" w:hAnsi="Cambria" w:cs="Cambria"/>
      <w:sz w:val="22"/>
      <w:szCs w:val="22"/>
    </w:rPr>
    <w:tblPr>
      <w:tblStyleRowBandSize w:val="1"/>
      <w:tblStyleColBandSize w:val="1"/>
      <w:tblCellMar>
        <w:left w:w="108" w:type="dxa"/>
        <w:right w:w="108"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a">
    <w:basedOn w:val="TableNormal0"/>
    <w:rPr>
      <w:rFonts w:ascii="Cambria" w:eastAsia="Cambria" w:hAnsi="Cambria" w:cs="Cambria"/>
      <w:color w:val="7B7B7B"/>
      <w:sz w:val="22"/>
      <w:szCs w:val="22"/>
    </w:rPr>
    <w:tblPr>
      <w:tblStyleRowBandSize w:val="1"/>
      <w:tblStyleColBandSize w:val="1"/>
      <w:tblCellMar>
        <w:left w:w="115"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DclgAehOImvHZyuBgJCI0vvRHw==">AMUW2mWZDy2nZroDoZb1rK+OxI4+USUoNfpAtjW0CTaOfcloLeGxgY5ooR2ikSmmxGVO07QbssNGLljLKuPup+n03KmJ1viJDJmDp9V9rKKcuUHvUF9RNNoU1TEIFcsfyqyL2HuBs6VjoLWlyZO1wcjq3hdPAUPI6ljVrgMA/1v5MlHwOT3rGC1Pq5+EHyoVW1ydTxFrb1srvAqalisr7Dw+d3hEjE+swg==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4425</Words>
  <Characters>24338</Characters>
  <Application>Microsoft Office Word</Application>
  <DocSecurity>0</DocSecurity>
  <Lines>202</Lines>
  <Paragraphs>57</Paragraphs>
  <ScaleCrop>false</ScaleCrop>
  <Company/>
  <LinksUpToDate>false</LinksUpToDate>
  <CharactersWithSpaces>28706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Juridico</dc:creator>
  <cp:lastModifiedBy>Secretario Gral</cp:lastModifiedBy>
  <cp:revision>2</cp:revision>
  <cp:lastPrinted>2022-06-30T17:40:00Z</cp:lastPrinted>
  <dcterms:created xsi:type="dcterms:W3CDTF">2022-06-30T19:39:00Z</dcterms:created>
  <dcterms:modified xsi:type="dcterms:W3CDTF">2022-06-30T19:39:00Z</dcterms:modified>
</cp:coreProperties>
</file>